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20" w:lineRule="exact"/>
        <w:rPr>
          <w:rFonts w:hint="eastAsia"/>
          <w:sz w:val="44"/>
        </w:rPr>
      </w:pPr>
      <w:bookmarkStart w:id="6" w:name="_GoBack"/>
      <w:bookmarkEnd w:id="6"/>
    </w:p>
    <w:p>
      <w:pPr>
        <w:adjustRightInd w:val="0"/>
        <w:snapToGrid w:val="0"/>
        <w:spacing w:line="400" w:lineRule="exact"/>
        <w:rPr>
          <w:sz w:val="44"/>
        </w:rPr>
      </w:pPr>
    </w:p>
    <w:p>
      <w:pPr>
        <w:adjustRightInd w:val="0"/>
        <w:snapToGrid w:val="0"/>
        <w:spacing w:line="520" w:lineRule="exact"/>
        <w:rPr>
          <w:sz w:val="44"/>
        </w:rPr>
      </w:pPr>
      <w:bookmarkStart w:id="0" w:name="缓急"/>
      <w:bookmarkEnd w:id="0"/>
    </w:p>
    <w:p>
      <w:pPr>
        <w:adjustRightInd w:val="0"/>
        <w:snapToGrid w:val="0"/>
        <w:spacing w:line="520" w:lineRule="exact"/>
        <w:rPr>
          <w:rFonts w:ascii="黑体" w:eastAsia="黑体"/>
          <w:sz w:val="32"/>
          <w:szCs w:val="32"/>
        </w:rPr>
      </w:pPr>
    </w:p>
    <w:p>
      <w:pPr>
        <w:adjustRightInd w:val="0"/>
        <w:snapToGrid w:val="0"/>
        <w:spacing w:line="520" w:lineRule="exact"/>
        <w:rPr>
          <w:rFonts w:hint="eastAsia"/>
        </w:rPr>
      </w:pPr>
    </w:p>
    <w:p>
      <w:pPr>
        <w:adjustRightInd w:val="0"/>
        <w:snapToGrid w:val="0"/>
        <w:spacing w:line="360" w:lineRule="auto"/>
        <w:jc w:val="center"/>
        <w:rPr>
          <w:rFonts w:ascii="宋体" w:hAnsi="宋体"/>
          <w:b/>
          <w:color w:val="FF0000"/>
          <w:spacing w:val="-20"/>
          <w:w w:val="50"/>
          <w:szCs w:val="21"/>
        </w:rPr>
      </w:pPr>
    </w:p>
    <w:p>
      <w:pPr>
        <w:adjustRightInd w:val="0"/>
        <w:snapToGrid w:val="0"/>
        <w:spacing w:line="360" w:lineRule="auto"/>
        <w:jc w:val="center"/>
        <w:rPr>
          <w:rFonts w:hint="eastAsia" w:ascii="宋体" w:hAnsi="宋体"/>
          <w:b/>
          <w:color w:val="FF0000"/>
          <w:spacing w:val="-20"/>
          <w:w w:val="50"/>
          <w:szCs w:val="21"/>
        </w:rPr>
      </w:pPr>
    </w:p>
    <w:p>
      <w:pPr>
        <w:adjustRightInd w:val="0"/>
        <w:snapToGrid w:val="0"/>
        <w:spacing w:line="480" w:lineRule="exact"/>
        <w:ind w:firstLine="160" w:firstLineChars="50"/>
        <w:rPr>
          <w:rFonts w:hint="eastAsia" w:ascii="仿宋_GB2312" w:hAnsi="华文仿宋" w:eastAsia="仿宋_GB2312"/>
          <w:sz w:val="32"/>
        </w:rPr>
      </w:pPr>
    </w:p>
    <w:p>
      <w:pPr>
        <w:adjustRightInd w:val="0"/>
        <w:snapToGrid w:val="0"/>
        <w:spacing w:line="480" w:lineRule="exact"/>
        <w:ind w:firstLine="160" w:firstLineChars="50"/>
        <w:rPr>
          <w:rFonts w:hint="eastAsia" w:ascii="仿宋_GB2312" w:hAnsi="华文仿宋" w:eastAsia="仿宋_GB2312"/>
          <w:sz w:val="32"/>
        </w:rPr>
      </w:pPr>
    </w:p>
    <w:p>
      <w:pPr>
        <w:adjustRightInd w:val="0"/>
        <w:snapToGrid w:val="0"/>
        <w:spacing w:line="240" w:lineRule="exact"/>
        <w:ind w:firstLine="160" w:firstLineChars="50"/>
        <w:rPr>
          <w:rFonts w:hint="eastAsia" w:ascii="仿宋_GB2312" w:hAnsi="华文仿宋" w:eastAsia="仿宋_GB2312"/>
          <w:sz w:val="32"/>
        </w:rPr>
      </w:pPr>
    </w:p>
    <w:p>
      <w:pPr>
        <w:adjustRightInd w:val="0"/>
        <w:snapToGrid w:val="0"/>
        <w:spacing w:line="200" w:lineRule="exact"/>
        <w:ind w:firstLine="160" w:firstLineChars="50"/>
        <w:rPr>
          <w:rFonts w:hint="eastAsia" w:ascii="仿宋_GB2312" w:hAnsi="华文仿宋" w:eastAsia="仿宋_GB2312"/>
          <w:sz w:val="32"/>
        </w:rPr>
      </w:pPr>
    </w:p>
    <w:p>
      <w:pPr>
        <w:adjustRightInd w:val="0"/>
        <w:snapToGrid w:val="0"/>
        <w:spacing w:line="480" w:lineRule="exact"/>
        <w:ind w:firstLine="160" w:firstLineChars="50"/>
        <w:rPr>
          <w:rFonts w:hint="eastAsia" w:ascii="仿宋_GB2312" w:hAnsi="华文仿宋" w:eastAsia="仿宋_GB2312"/>
          <w:sz w:val="32"/>
        </w:rPr>
      </w:pPr>
    </w:p>
    <w:p>
      <w:pPr>
        <w:adjustRightInd w:val="0"/>
        <w:snapToGrid w:val="0"/>
        <w:spacing w:line="480" w:lineRule="exact"/>
        <w:ind w:firstLine="160" w:firstLineChars="50"/>
        <w:rPr>
          <w:rFonts w:hint="eastAsia" w:ascii="仿宋_GB2312" w:hAnsi="华文仿宋" w:eastAsia="仿宋_GB2312"/>
          <w:sz w:val="32"/>
        </w:rPr>
      </w:pPr>
    </w:p>
    <w:p>
      <w:pPr>
        <w:jc w:val="center"/>
        <w:rPr>
          <w:rFonts w:hint="eastAsia" w:eastAsia="仿宋_GB2312"/>
          <w:sz w:val="32"/>
        </w:rPr>
      </w:pPr>
      <w:bookmarkStart w:id="1" w:name="文号"/>
      <w:bookmarkEnd w:id="1"/>
      <w:r>
        <w:rPr>
          <w:rFonts w:hint="eastAsia" w:eastAsia="仿宋_GB2312"/>
          <w:sz w:val="32"/>
        </w:rPr>
        <w:t>通政办</w:t>
      </w:r>
      <w:r>
        <w:rPr>
          <w:rFonts w:ascii="Times New Roman" w:hAnsi="Times New Roman" w:eastAsia="仿宋_GB2312"/>
          <w:sz w:val="32"/>
        </w:rPr>
        <w:t>发〔2022〕23号</w:t>
      </w:r>
    </w:p>
    <w:p>
      <w:pPr>
        <w:adjustRightInd w:val="0"/>
        <w:snapToGrid w:val="0"/>
        <w:spacing w:line="560" w:lineRule="exact"/>
        <w:ind w:firstLine="160" w:firstLineChars="50"/>
        <w:rPr>
          <w:rFonts w:hint="eastAsia"/>
        </w:rPr>
      </w:pPr>
      <w:r>
        <w:rPr>
          <w:rFonts w:hint="eastAsia" w:ascii="仿宋_GB2312" w:hAnsi="华文仿宋" w:eastAsia="仿宋_GB2312"/>
          <w:sz w:val="32"/>
        </w:rPr>
        <w:t xml:space="preserve">    </w:t>
      </w:r>
    </w:p>
    <w:p>
      <w:pPr>
        <w:spacing w:line="500" w:lineRule="exact"/>
        <w:jc w:val="center"/>
        <w:rPr>
          <w:rFonts w:hint="eastAsia" w:ascii="Times New Roman" w:hAnsi="Times New Roman" w:eastAsia="方正小标宋简体"/>
          <w:sz w:val="44"/>
          <w:szCs w:val="44"/>
        </w:rPr>
      </w:pPr>
      <w:bookmarkStart w:id="2" w:name="内容"/>
      <w:bookmarkEnd w:id="2"/>
      <w:bookmarkStart w:id="3" w:name="标题"/>
      <w:bookmarkEnd w:id="3"/>
      <w:r>
        <w:rPr>
          <w:rFonts w:hint="eastAsia" w:ascii="Times New Roman" w:hAnsi="Times New Roman" w:eastAsia="方正小标宋简体"/>
          <w:sz w:val="44"/>
          <w:szCs w:val="44"/>
        </w:rPr>
        <w:t>通辽市人民政府</w:t>
      </w:r>
    </w:p>
    <w:p>
      <w:pPr>
        <w:spacing w:line="500" w:lineRule="exact"/>
        <w:jc w:val="center"/>
        <w:rPr>
          <w:rFonts w:hint="eastAsia" w:ascii="Times New Roman" w:hAnsi="Times New Roman" w:eastAsia="方正小标宋简体"/>
          <w:sz w:val="44"/>
          <w:szCs w:val="44"/>
        </w:rPr>
      </w:pPr>
      <w:r>
        <w:rPr>
          <w:rFonts w:hint="eastAsia" w:ascii="Times New Roman" w:hAnsi="Times New Roman" w:eastAsia="方正小标宋简体"/>
          <w:sz w:val="44"/>
          <w:szCs w:val="44"/>
        </w:rPr>
        <w:t>关于印发通辽市“十四五”水安全</w:t>
      </w:r>
    </w:p>
    <w:p>
      <w:pPr>
        <w:spacing w:line="500" w:lineRule="exact"/>
        <w:jc w:val="center"/>
        <w:rPr>
          <w:rFonts w:hint="eastAsia" w:ascii="Times New Roman" w:hAnsi="Times New Roman" w:eastAsia="方正小标宋简体"/>
          <w:sz w:val="44"/>
          <w:szCs w:val="44"/>
        </w:rPr>
      </w:pPr>
      <w:r>
        <w:rPr>
          <w:rFonts w:hint="eastAsia" w:ascii="Times New Roman" w:hAnsi="Times New Roman" w:eastAsia="方正小标宋简体"/>
          <w:sz w:val="44"/>
          <w:szCs w:val="44"/>
        </w:rPr>
        <w:t>保障规划的通知</w:t>
      </w:r>
    </w:p>
    <w:p>
      <w:pPr>
        <w:spacing w:line="500" w:lineRule="exact"/>
        <w:jc w:val="center"/>
        <w:rPr>
          <w:rFonts w:hint="eastAsia" w:ascii="Times New Roman" w:hAnsi="Times New Roman" w:eastAsia="方正小标宋简体"/>
          <w:sz w:val="44"/>
          <w:szCs w:val="44"/>
        </w:rPr>
      </w:pPr>
    </w:p>
    <w:p>
      <w:pPr>
        <w:spacing w:line="500" w:lineRule="exact"/>
        <w:rPr>
          <w:rFonts w:hint="eastAsia" w:ascii="Times New Roman" w:hAnsi="Times New Roman" w:eastAsia="仿宋_GB2312"/>
          <w:sz w:val="32"/>
          <w:szCs w:val="32"/>
        </w:rPr>
      </w:pPr>
      <w:r>
        <w:rPr>
          <w:rFonts w:hint="eastAsia" w:ascii="Times New Roman" w:hAnsi="Times New Roman" w:eastAsia="仿宋_GB2312"/>
          <w:sz w:val="32"/>
          <w:szCs w:val="32"/>
        </w:rPr>
        <w:t>各旗县市区人民政府、开发区管委会，市政府各委办局，有关企事业单位：</w:t>
      </w:r>
    </w:p>
    <w:p>
      <w:pPr>
        <w:spacing w:line="50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现将《通辽市“十四五”水安全保障规划》印发给你们，请结合实际，认真组织实施。</w:t>
      </w:r>
    </w:p>
    <w:p>
      <w:pPr>
        <w:spacing w:line="40" w:lineRule="exact"/>
        <w:rPr>
          <w:rFonts w:hint="eastAsia" w:ascii="Times New Roman" w:hAnsi="Times New Roman" w:eastAsia="仿宋_GB2312"/>
          <w:sz w:val="32"/>
          <w:szCs w:val="32"/>
        </w:rPr>
      </w:pPr>
    </w:p>
    <w:p>
      <w:pPr>
        <w:spacing w:line="40" w:lineRule="exact"/>
        <w:rPr>
          <w:rFonts w:hint="eastAsia" w:ascii="Times New Roman" w:hAnsi="Times New Roman" w:eastAsia="仿宋_GB2312"/>
          <w:sz w:val="32"/>
          <w:szCs w:val="32"/>
        </w:rPr>
      </w:pPr>
    </w:p>
    <w:p>
      <w:pPr>
        <w:spacing w:line="40" w:lineRule="exact"/>
        <w:rPr>
          <w:rFonts w:hint="eastAsia" w:ascii="Times New Roman" w:hAnsi="Times New Roman" w:eastAsia="仿宋_GB2312"/>
          <w:sz w:val="32"/>
          <w:szCs w:val="32"/>
        </w:rPr>
      </w:pPr>
    </w:p>
    <w:p>
      <w:pPr>
        <w:spacing w:line="40" w:lineRule="exact"/>
        <w:rPr>
          <w:rFonts w:hint="eastAsia" w:ascii="Times New Roman" w:hAnsi="Times New Roman" w:eastAsia="仿宋_GB2312"/>
          <w:sz w:val="32"/>
          <w:szCs w:val="32"/>
        </w:rPr>
      </w:pPr>
    </w:p>
    <w:p>
      <w:pPr>
        <w:spacing w:line="40" w:lineRule="exact"/>
        <w:rPr>
          <w:rFonts w:hint="eastAsia" w:ascii="Times New Roman" w:hAnsi="Times New Roman" w:eastAsia="仿宋_GB2312"/>
          <w:sz w:val="32"/>
          <w:szCs w:val="32"/>
        </w:rPr>
      </w:pPr>
    </w:p>
    <w:p>
      <w:pPr>
        <w:spacing w:line="40" w:lineRule="exact"/>
        <w:rPr>
          <w:rFonts w:hint="eastAsia" w:ascii="Times New Roman" w:hAnsi="Times New Roman" w:eastAsia="仿宋_GB2312"/>
          <w:sz w:val="32"/>
          <w:szCs w:val="32"/>
        </w:rPr>
      </w:pPr>
    </w:p>
    <w:p>
      <w:pPr>
        <w:spacing w:line="40" w:lineRule="exact"/>
        <w:rPr>
          <w:rFonts w:hint="eastAsia" w:ascii="Times New Roman" w:hAnsi="Times New Roman" w:eastAsia="仿宋_GB2312"/>
          <w:sz w:val="32"/>
          <w:szCs w:val="32"/>
        </w:rPr>
      </w:pPr>
    </w:p>
    <w:p>
      <w:pPr>
        <w:spacing w:line="40" w:lineRule="exact"/>
        <w:rPr>
          <w:rFonts w:hint="eastAsia" w:ascii="Times New Roman" w:hAnsi="Times New Roman" w:eastAsia="仿宋_GB2312"/>
          <w:sz w:val="32"/>
          <w:szCs w:val="32"/>
        </w:rPr>
      </w:pPr>
    </w:p>
    <w:p>
      <w:pPr>
        <w:spacing w:line="40" w:lineRule="exact"/>
        <w:rPr>
          <w:rFonts w:hint="eastAsia" w:ascii="Times New Roman" w:hAnsi="Times New Roman" w:eastAsia="仿宋_GB2312"/>
          <w:sz w:val="32"/>
          <w:szCs w:val="32"/>
        </w:rPr>
      </w:pPr>
    </w:p>
    <w:p>
      <w:pPr>
        <w:spacing w:line="40" w:lineRule="exact"/>
        <w:rPr>
          <w:rFonts w:hint="eastAsia" w:ascii="Times New Roman" w:hAnsi="Times New Roman" w:eastAsia="仿宋_GB2312"/>
          <w:sz w:val="32"/>
          <w:szCs w:val="32"/>
        </w:rPr>
      </w:pPr>
    </w:p>
    <w:p>
      <w:pPr>
        <w:spacing w:line="40" w:lineRule="exact"/>
        <w:rPr>
          <w:rFonts w:hint="eastAsia" w:ascii="Times New Roman" w:hAnsi="Times New Roman" w:eastAsia="仿宋_GB2312"/>
          <w:sz w:val="32"/>
          <w:szCs w:val="32"/>
        </w:rPr>
      </w:pPr>
    </w:p>
    <w:p>
      <w:pPr>
        <w:spacing w:line="40" w:lineRule="exact"/>
        <w:rPr>
          <w:rFonts w:hint="eastAsia" w:ascii="Times New Roman" w:hAnsi="Times New Roman" w:eastAsia="仿宋_GB2312"/>
          <w:sz w:val="32"/>
          <w:szCs w:val="32"/>
        </w:rPr>
      </w:pPr>
    </w:p>
    <w:p>
      <w:pPr>
        <w:spacing w:line="40" w:lineRule="exact"/>
        <w:rPr>
          <w:rFonts w:hint="eastAsia" w:ascii="Times New Roman" w:hAnsi="Times New Roman" w:eastAsia="仿宋_GB2312"/>
          <w:sz w:val="32"/>
          <w:szCs w:val="32"/>
        </w:rPr>
      </w:pPr>
    </w:p>
    <w:p>
      <w:pPr>
        <w:spacing w:line="40" w:lineRule="exact"/>
        <w:rPr>
          <w:rFonts w:hint="eastAsia" w:ascii="Times New Roman" w:hAnsi="Times New Roman" w:eastAsia="仿宋_GB2312"/>
          <w:sz w:val="32"/>
          <w:szCs w:val="32"/>
        </w:rPr>
      </w:pPr>
    </w:p>
    <w:p>
      <w:pPr>
        <w:spacing w:line="40" w:lineRule="exact"/>
        <w:rPr>
          <w:rFonts w:hint="eastAsia" w:ascii="Times New Roman" w:hAnsi="Times New Roman" w:eastAsia="仿宋_GB2312"/>
          <w:sz w:val="32"/>
          <w:szCs w:val="32"/>
        </w:rPr>
      </w:pPr>
    </w:p>
    <w:p>
      <w:pPr>
        <w:spacing w:line="40" w:lineRule="exact"/>
        <w:rPr>
          <w:rFonts w:hint="eastAsia" w:ascii="Times New Roman" w:hAnsi="Times New Roman" w:eastAsia="仿宋_GB2312"/>
          <w:sz w:val="32"/>
          <w:szCs w:val="32"/>
        </w:rPr>
      </w:pPr>
    </w:p>
    <w:p>
      <w:pPr>
        <w:spacing w:line="40" w:lineRule="exact"/>
        <w:rPr>
          <w:rFonts w:hint="eastAsia" w:ascii="Times New Roman" w:hAnsi="Times New Roman" w:eastAsia="仿宋_GB2312"/>
          <w:sz w:val="32"/>
          <w:szCs w:val="32"/>
        </w:rPr>
      </w:pPr>
    </w:p>
    <w:p>
      <w:pPr>
        <w:spacing w:line="40" w:lineRule="exact"/>
        <w:rPr>
          <w:rFonts w:hint="eastAsia" w:ascii="Times New Roman" w:hAnsi="Times New Roman" w:eastAsia="仿宋_GB2312"/>
          <w:sz w:val="32"/>
          <w:szCs w:val="32"/>
        </w:rPr>
      </w:pPr>
    </w:p>
    <w:p>
      <w:pPr>
        <w:spacing w:line="40" w:lineRule="exact"/>
        <w:rPr>
          <w:rFonts w:hint="eastAsia" w:ascii="Times New Roman" w:hAnsi="Times New Roman" w:eastAsia="仿宋_GB2312"/>
          <w:sz w:val="32"/>
          <w:szCs w:val="32"/>
        </w:rPr>
      </w:pPr>
    </w:p>
    <w:p>
      <w:pPr>
        <w:spacing w:line="40" w:lineRule="exact"/>
        <w:rPr>
          <w:rFonts w:hint="eastAsia" w:ascii="Times New Roman" w:hAnsi="Times New Roman" w:eastAsia="仿宋_GB2312"/>
          <w:sz w:val="32"/>
          <w:szCs w:val="32"/>
        </w:rPr>
      </w:pPr>
    </w:p>
    <w:p>
      <w:pPr>
        <w:spacing w:line="40" w:lineRule="exact"/>
        <w:rPr>
          <w:rFonts w:hint="eastAsia" w:ascii="Times New Roman" w:hAnsi="Times New Roman" w:eastAsia="仿宋_GB2312"/>
          <w:sz w:val="32"/>
          <w:szCs w:val="32"/>
        </w:rPr>
      </w:pPr>
    </w:p>
    <w:p>
      <w:pPr>
        <w:spacing w:line="40" w:lineRule="exact"/>
        <w:rPr>
          <w:rFonts w:ascii="Times New Roman" w:hAnsi="Times New Roman" w:eastAsia="仿宋_GB2312"/>
          <w:sz w:val="32"/>
          <w:szCs w:val="32"/>
        </w:rPr>
      </w:pPr>
    </w:p>
    <w:p>
      <w:pPr>
        <w:spacing w:line="500" w:lineRule="exact"/>
        <w:ind w:firstLine="5120" w:firstLineChars="1600"/>
        <w:rPr>
          <w:rFonts w:hint="eastAsia" w:ascii="Times New Roman" w:hAnsi="Times New Roman" w:eastAsia="仿宋_GB2312"/>
          <w:sz w:val="32"/>
          <w:szCs w:val="32"/>
        </w:rPr>
      </w:pPr>
      <w:r>
        <w:rPr>
          <w:rFonts w:hint="eastAsia" w:ascii="Times New Roman" w:hAnsi="Times New Roman" w:eastAsia="仿宋_GB2312"/>
          <w:sz w:val="32"/>
          <w:szCs w:val="32"/>
        </w:rPr>
        <w:t>2022年6月16日</w:t>
      </w:r>
    </w:p>
    <w:p>
      <w:pPr>
        <w:spacing w:line="50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（此件公开发布）</w:t>
      </w:r>
    </w:p>
    <w:p>
      <w:pPr>
        <w:spacing w:line="540" w:lineRule="exact"/>
        <w:jc w:val="center"/>
        <w:rPr>
          <w:rFonts w:hint="eastAsia" w:ascii="Times New Roman" w:hAnsi="Times New Roman" w:eastAsia="方正小标宋简体"/>
          <w:sz w:val="44"/>
          <w:szCs w:val="44"/>
        </w:rPr>
      </w:pPr>
      <w:r>
        <w:rPr>
          <w:rFonts w:hint="eastAsia" w:ascii="Times New Roman" w:hAnsi="Times New Roman" w:eastAsia="方正小标宋简体"/>
          <w:sz w:val="44"/>
          <w:szCs w:val="44"/>
        </w:rPr>
        <w:t>通辽市“十四五”水安全保障规划</w:t>
      </w:r>
    </w:p>
    <w:p>
      <w:pPr>
        <w:spacing w:line="540" w:lineRule="exact"/>
        <w:rPr>
          <w:rFonts w:ascii="Times New Roman" w:hAnsi="Times New Roman" w:eastAsia="仿宋_GB2312"/>
          <w:sz w:val="32"/>
          <w:szCs w:val="32"/>
        </w:rPr>
      </w:pP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水安全是国家安全的重要组成部分，关系到资源安全、生态安全、经济安全和社会安全，党的十八大以来，党中央高度重视水安全工作，习近平总书记强调，水安全是涉及国家长治久安的大事，明确提出“节水优先、空间均衡、系统治理、两手发力”的新治水思路，把水安全上升为国家战略高度。</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2019年8月，国家发展改革委、水利部联合印发水安全战略规划。2020年10月，党的十九届五中全会审议通过了《中共中央关于制定国民经济和社会发展第十四个五年规划和二</w:t>
      </w:r>
      <w:r>
        <w:rPr>
          <w:rFonts w:hint="eastAsia" w:ascii="Times New Roman" w:hAnsi="Times New Roman" w:cs="宋体"/>
          <w:sz w:val="32"/>
          <w:szCs w:val="32"/>
        </w:rPr>
        <w:t>〇</w:t>
      </w:r>
      <w:r>
        <w:rPr>
          <w:rFonts w:hint="eastAsia" w:ascii="Times New Roman" w:hAnsi="Times New Roman" w:eastAsia="仿宋_GB2312" w:cs="仿宋_GB2312"/>
          <w:sz w:val="32"/>
          <w:szCs w:val="32"/>
        </w:rPr>
        <w:t>三五年远景目标的建议》，对水安全保障工作提出了新要求。</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一直以来，我市高度重视水资源保障、防洪抗旱减灾、水资源保护、水生态治理等工作，陆续完成了西辽河治理、毛都水库等水安全基础工程，开工建设了引绰济辽工程，全力提升农村牧区饮水安全保障水平，大力开展水土流失综合治理，全面落实河（湖）长制，全市水安全保障水平稳步提升，人民群众获得感幸福感安全感不断增强。</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十四五”时期是我市全面建成高质量小康社会基础上、开启全面建设社会主义现代化城市新征程的第一个五年。习近平总书记在参加全国人大历次会议内蒙古代表团审议时的重要讲话以及在黄河流域生态保护和高质量发展座谈会上的重要讲话，都指出要坚持绿水青山就是金山银山的理念，全方位贯彻“四水四定”原则。面对复杂多变的经济环境和艰巨繁重的改革发展稳定任务，市委、市政府团结带领全市各族人民，坚定不移走以生态优先、绿色发展为导向的高质量发展新路子，为我市的发展指明了方向，同时为我市水利改革发展提供了重要遵循。</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通辽市“十四五”水安全保障规划以补短板、建水网、强监管、激活力作为主线，通过总结“十三五”期间水安全保障取得的成就、查找不足之处，对我市在水资源承载能力与供水安全保障、防洪安全保障、水生态安全保障和涉水事务管理方面面临的形势进行了大量的实地调研和深入的分析研判，提出了我市“十四五”水安全保障的总体思路和主要措施，并与各旗县市区水务局共同规划出一批“确有需要、生态安全、可以持续”的水安全保障项目，对于提升我市水安全保障能力，基本建成与生态文明建设、乡村振兴与高质量发展相适应的水安全保障体系，对解决人民群众期待急迫解决的水安全保障问题具有十分重要的意义。</w:t>
      </w:r>
    </w:p>
    <w:p>
      <w:pPr>
        <w:spacing w:line="540" w:lineRule="exact"/>
        <w:ind w:firstLine="640" w:firstLineChars="200"/>
        <w:rPr>
          <w:rFonts w:hint="eastAsia" w:ascii="Times New Roman" w:hAnsi="Times New Roman" w:eastAsia="黑体"/>
          <w:sz w:val="32"/>
          <w:szCs w:val="32"/>
        </w:rPr>
      </w:pPr>
      <w:r>
        <w:rPr>
          <w:rFonts w:hint="eastAsia" w:ascii="Times New Roman" w:hAnsi="Times New Roman" w:eastAsia="黑体"/>
          <w:sz w:val="32"/>
          <w:szCs w:val="32"/>
        </w:rPr>
        <w:t>一、“十三五”水利发展成就</w:t>
      </w:r>
    </w:p>
    <w:p>
      <w:pPr>
        <w:spacing w:line="540" w:lineRule="exact"/>
        <w:ind w:firstLine="640" w:firstLineChars="200"/>
        <w:rPr>
          <w:rFonts w:hint="eastAsia" w:ascii="Times New Roman" w:hAnsi="Times New Roman" w:eastAsia="楷体_GB2312"/>
          <w:sz w:val="32"/>
          <w:szCs w:val="32"/>
        </w:rPr>
      </w:pPr>
      <w:r>
        <w:rPr>
          <w:rFonts w:hint="eastAsia" w:ascii="Times New Roman" w:hAnsi="Times New Roman" w:eastAsia="楷体_GB2312"/>
          <w:sz w:val="32"/>
          <w:szCs w:val="32"/>
        </w:rPr>
        <w:t>（一）“十三五”规划实施总体情况和主要成就</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认真贯彻落实党的十九大精神，坚持以习近平新时代中国特色社会主义思想为指引，紧扣满足人民日益增长的美好生活需要，突出抓重点、补短板、强弱项，围绕节约水资源、保护水环境、改善水生态、防治水灾害的主线任务，着力解决我市水利发展不平衡不充分问题，加快构建与全面建成小康社会相适应的水安全保障体系。</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1. 重大水利工程建设进展顺利</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建设项目中西辽河治理工程、毛都水库全部完成。引绰济辽工程已开工建设，其配套工程引绰济辽二期工程正在进行前期工作。LXB供水内蒙古支线工程前期工作正在推进。大力推进引嫩济锡（霍）工程前期工作。积极协调解决前期论证中遇到的问题。</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2. 水资源管理工作取得了新成效</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十三五”期间，水资源支撑保障能力进一步增强。“量水而行”指示批示精神进一步落实。严控用水总量，进一步强化区域用水总量控制刚性约束。地下水管理与保护工作不断深化。全市节水行动方案有效落实，营造了全社会节水的良好氛围。</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3. 水生态文明建设不断加强</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水功能区水质达标率完成自治区下达的任务指标。按环保督察要求，完成霍林郭勒市超采区、科尔沁区超采区治理，工业企业违规取用水资源整改任务。推进实施农业取水许可。组织开展县域节水型社会达标建设，全面推进建成节水型社会。开展水源地安全保障达标建设，保障饮用水安全。“十三五”期间，加快区域水土保持工程建设和生态修复，全市新增水土流失综合治理面积429.4平方公里。</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4. 民生水利事业稳步发展</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农村牧区饮水安全巩固提升工程全面提速，受益人口53.873万，其中建档立卡贫困人口3.83万。大江大河重要支流、中小河流治理、大中型病险水库除险加固同步实施，山洪灾害防治非工程措施体系日趋完善。</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5. 重点领域水利改革扎实推进</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将河长制作为一项重大任务加快推进，实现了河长、湖长“有名”。出台工作方案，落实配套制度。开展河湖“清四乱”整治专项行动，河湖管理保护初见成效。</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6. 水利管理服务水平进一步提升</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狠抓建设市场监管，水利工程建设管理、资金管理、质量安全管理不断强化。积极推进水利科技创新，水利信息化加快推进，开展智慧水利大数据应用项目前期工作。</w:t>
      </w:r>
    </w:p>
    <w:p>
      <w:pPr>
        <w:spacing w:line="540" w:lineRule="exact"/>
        <w:ind w:firstLine="640" w:firstLineChars="200"/>
        <w:rPr>
          <w:rFonts w:hint="eastAsia" w:ascii="Times New Roman" w:hAnsi="Times New Roman" w:eastAsia="楷体_GB2312"/>
          <w:sz w:val="32"/>
          <w:szCs w:val="32"/>
        </w:rPr>
      </w:pPr>
      <w:r>
        <w:rPr>
          <w:rFonts w:hint="eastAsia" w:ascii="Times New Roman" w:hAnsi="Times New Roman" w:eastAsia="楷体_GB2312"/>
          <w:sz w:val="32"/>
          <w:szCs w:val="32"/>
        </w:rPr>
        <w:t>（二） 主要目标指标完成情况</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通辽市水利发展“十三五”规划主要目标包括防洪抗旱减灾体系；水资源合理配置和高效利用体系；水资源保护、水生态治理和河湖健康保障体系；有利于水务科学发展的制度体系。四大体系建设共规划项目151个，本次评估按照以上四大体系，对完成情况逐一分析，评估如下:</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1. 防洪抗旱减灾目标完成情况</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“十三五”期间，规划内西辽河</w:t>
      </w:r>
      <w:r>
        <w:rPr>
          <w:rFonts w:hint="eastAsia" w:ascii="仿宋_GB2312" w:hAnsi="Times New Roman" w:eastAsia="仿宋_GB2312"/>
          <w:sz w:val="32"/>
          <w:szCs w:val="32"/>
        </w:rPr>
        <w:t>［</w:t>
      </w:r>
      <w:r>
        <w:rPr>
          <w:rFonts w:hint="eastAsia" w:ascii="Times New Roman" w:hAnsi="Times New Roman" w:eastAsia="仿宋_GB2312"/>
          <w:sz w:val="32"/>
          <w:szCs w:val="32"/>
        </w:rPr>
        <w:t>西辽河治理工程（小瓦房以上段）、西辽河治理工程（小瓦房以下段）</w:t>
      </w:r>
      <w:r>
        <w:rPr>
          <w:rFonts w:hint="eastAsia" w:ascii="仿宋_GB2312" w:hAnsi="Times New Roman" w:eastAsia="仿宋_GB2312"/>
          <w:sz w:val="32"/>
          <w:szCs w:val="32"/>
        </w:rPr>
        <w:t>］</w:t>
      </w:r>
      <w:r>
        <w:rPr>
          <w:rFonts w:hint="eastAsia" w:ascii="Times New Roman" w:hAnsi="Times New Roman" w:eastAsia="仿宋_GB2312"/>
          <w:sz w:val="32"/>
          <w:szCs w:val="32"/>
        </w:rPr>
        <w:t>、西拉木伦河、乌力吉木仁河4条河流治理工程主体工程全部完工并通过竣工验收。“十三五”期间，完成了26处抗旱应急水源工程建设，保障8765人饮水，10.36万亩基本农田抗旱灌溉，一定程度上减轻因干旱造成的损失和影响，城乡抗旱能力还需增强。完成了规划外的6项山洪灾害工程，同时完成了山洪灾害预警监测平台建设、科尔沁区及开鲁县农村基层预警预测体系建设。</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2. 水资源合理配置和高效利用目标完成情况</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（1）节约用水及水资源利用目标完成情况</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用水总量控制有力，《规划》确定目标为我市2020年全市用水总量控制在30.95亿立方米（不含再生水）内，“十三五”期间，平均每年减少用水量约0.9129亿立方米。根据“十三五”期间我市历年水资源公报成果，2016年用水总量达31.1219亿立方米，2017年用水总量达30.3358亿立方米，2018年用水总量达28.2692亿立方米，2019年用水总量达27.7324亿立方米，2020年用水总量达26.7656亿立方米（均不含再生水）。随着最严格水资源管理制度的实施，用水总量控制目标已完成。</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万元国内生产总值用水量下降较明显，《规划》确定目标为2020年万元GDP用水量比2015年下降22%。根据“十三五”期间我市历年水资源公报成果，按2015年不变价计，2016年我市万元国内生产总值用水量为154.35立方米/万元，2017年为150.00立方米/万元，2018年为134.27立方米/万元，2019年为126.66立方米/万元，2019年万元GDP（按2015年不变价计）用水量较2015年下降了24.1%，完成了“十三五”时期经济社会发展主要指标中单位GDP用水量累计较2015下降22%的任务。完成2020年万元国内生产总值用水量下降目标。</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万元工业增加值用水量下降比较迅速，《规划》确定目标为2020年万元工业增加值用水量比2015年下降25%。根据“十三五”期间我市历年水资源公报成果，按2015年不变价计，2016年我市万元工业增加值用水量20.72 立方米/万元，2017年为19.54立方米/万元，2018年为8.02立方米/万元，2019年为6.71立方米/万元，2019年万元工业增加值（按2015年不变价计）用水量较2015年下降了76.0%，已经实现了万元工业增加值用水量下降25%的目标值。完成2020年万元工业增加值用水量下降25%的目标。</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农田灌溉用水有效利用系数逐年提高。《规划》确定目标为农田灌溉水有效利用系数到2020年提高到0.64。“十三五”期间，我市农田灌溉水有效利用系数为2016年0.607，2017年0.623，2018年0.636，2019年0.671，2020年0.675。通过继续开展以节水改造为中心的大中型灌区续建配套与节水改造，加强农田基本建设，大力推广节水灌溉新技术，在缺水地区调整农业结构，可有效提高农业用水效率与节水水平。“十三五”期末农田灌溉水有效利用系数提高到了0.675，实现了0.64的预期目标。</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（2）城乡供水安全保障目标完成情况</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“十三五”期间，根据“十三五”中期评估成果，通辽市主城区供水设施及消防设施打包PPP项目已经完成全部前期工作，“十三五”期末PPP项目现全部完工。</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新增供水能力。《规划》新建水源工程8个，即七泡子水库、</w:t>
      </w:r>
      <w:r>
        <w:rPr>
          <w:rFonts w:hint="eastAsia" w:ascii="Times New Roman" w:hAnsi="Times New Roman" w:cs="宋体"/>
          <w:sz w:val="32"/>
          <w:szCs w:val="32"/>
        </w:rPr>
        <w:t>牤</w:t>
      </w:r>
      <w:r>
        <w:rPr>
          <w:rFonts w:hint="eastAsia" w:ascii="Times New Roman" w:hAnsi="Times New Roman" w:eastAsia="仿宋_GB2312" w:cs="仿宋_GB2312"/>
          <w:sz w:val="32"/>
          <w:szCs w:val="32"/>
        </w:rPr>
        <w:t>牛河水库、嘎海山水库、毛都水库、巴润河水库、东章古台水库、朝北沟水库、乌兰哈达水库。目前，东章古台水库、朝北沟水库已经完工，毛都水库已完工，嘎海山水库完成招投标工作，其余</w:t>
      </w:r>
      <w:r>
        <w:rPr>
          <w:rFonts w:hint="eastAsia" w:ascii="Times New Roman" w:hAnsi="Times New Roman" w:eastAsia="仿宋_GB2312"/>
          <w:sz w:val="32"/>
          <w:szCs w:val="32"/>
        </w:rPr>
        <w:t>4座水库正在开展可行性研究报编制工作。</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规划构建北水南调、东西互济的水资源配置工程，重点规划引绰济辽工程、“蒙东国家能源产业基地调水—引嫩济锡工程”“LXB供水内蒙古（通辽）支线工程”、霍林河干流提水工程、霍林郭勒供水工程5项水资源调配工程。目前，引绰济辽二期工程项目及LXB供水通辽支线工程可研报告正在编制中，引嫩济锡（霍）工程规划正在编制中。</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农村自来水普及率及农村集中式供水人口比例显著提高。至“十三五”期末，全市饮水安全累计解决人口91.28万人。其中 “十三五”期间共完成饮水安全巩固提升工程579处，新建分散供水井9714眼，受益总人口53.873万人，解决建档立卡贫困人口3.83万人。“十三五”期末实现了饮水安全工程全覆盖，水量满足农村牧区居民生产生活综合用水要求，水质达到新国标《生活饮用水卫生生活饮用水标准》（GB 5749-2006）要求，全市自来水普及率已达到84.3%，实施了80%以上的预计目标。</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（3）农村水利基础建设目标完成情况</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十三五”期间，规划全市节水灌溉面积累计达到1000万亩，饲草料地灌溉面积达到300万亩。未规划高效节水灌溉工程，目前，我市共开展8项相关项目。规划建设中型灌区续建配套与节水改造工程6处。全市中型灌区续建配套与节水改造工程开工一处，即扎鲁特旗前进灌区，工期为两年。</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十三五”期间，市水务局统计全市依托水务、国土、发改、农开等各类投资项目累计发展高效节水灌溉面积427.9万亩，其中浅埋滴灌367万亩、膜下滴灌43.5万亩、管道输水2.89万亩、喷灌48.93万亩，完成十三五规划任务的43%。饲草料灌溉面积累计达到103万亩。（2018年6月之后划转农业部门，市水务局不再统计此项数据）。</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3. 水资源保护、水生态治理和河湖健康保障目标完成情况</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新增水土流失综合治理面积稳定增长。规划新增水土流失综合治理面积429.4平方公里，“十三五”期间通辽市完成新增水土流失综合治理面积138.613平方公里。按照当前的资金投入和治理速度，实现初步完成治理周期太长。建议进一步加大投入，提高治理标准，切实加快水土流失治理步伐。</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重要江河湖泊水功能区水质达标率稳步提高。《规划》确定目标为2020年监测水功能区水质达标率达到66%以上。“十三五”期间，严格执行“水十条”，根据《内蒙古自治区水功能区水资源质量状况通报（2019年）》，2019年国家重要江河湖泊水功能区达标率为68.8%，根据环保数据，2020年国家重要江河湖泊水功能区达标率为77.8%，实现了目标值。</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“十三五”期间，严格实行地下水开采总量和地下水位双控制度，地下水超采得到严格控制，水生态系统稳定性和生态服务功能得到明显提升。</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4. 有利于水务科学发展的制度目标完成情况</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“十三五”期间，依法治水管水全面强化，水权水市场初步建立，水利工程良性运行机制基本形成，水利投入稳定增长机制进一步完善，水利科技创新能力明显增强。</w:t>
      </w:r>
    </w:p>
    <w:p>
      <w:pPr>
        <w:spacing w:line="540" w:lineRule="exact"/>
        <w:ind w:firstLine="640" w:firstLineChars="200"/>
        <w:rPr>
          <w:rFonts w:hint="eastAsia" w:ascii="Times New Roman" w:hAnsi="Times New Roman" w:eastAsia="楷体_GB2312"/>
          <w:sz w:val="32"/>
          <w:szCs w:val="32"/>
        </w:rPr>
      </w:pPr>
      <w:r>
        <w:rPr>
          <w:rFonts w:hint="eastAsia" w:ascii="Times New Roman" w:hAnsi="Times New Roman" w:eastAsia="楷体_GB2312"/>
          <w:sz w:val="32"/>
          <w:szCs w:val="32"/>
        </w:rPr>
        <w:t>（三）投资完成情况</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“十三五”期间，我市完成投资206111万元，其中完成中央财政投资167178万元，地方财政投资38933万元。</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十三五”期间，各年度完成投资情况为：2016年，完成投资20092万元，其中完成中央投资10900万元，地方投资9192万元；2017年，完成投资56272万元，其中完成中央投资35898万元，地方投资20374万元；2018年，完成投资111408万元，其中完成中央投资107110万元，地方投资4298万元；2019年，完成投资10983万元，其中完成中央投资7226万元，地方投资3757万元；2020年，完成投资7356万元，其中完成中央投资6044万元，地方投资1312万元。</w:t>
      </w:r>
    </w:p>
    <w:p>
      <w:pPr>
        <w:spacing w:line="560" w:lineRule="exact"/>
        <w:ind w:firstLine="640" w:firstLineChars="200"/>
        <w:rPr>
          <w:rFonts w:hint="eastAsia" w:ascii="Times New Roman" w:hAnsi="Times New Roman" w:eastAsia="仿宋_GB2312"/>
          <w:sz w:val="32"/>
          <w:szCs w:val="32"/>
        </w:rPr>
      </w:pPr>
    </w:p>
    <w:p>
      <w:pPr>
        <w:spacing w:line="560" w:lineRule="exact"/>
        <w:jc w:val="center"/>
        <w:rPr>
          <w:rFonts w:hint="eastAsia" w:ascii="Times New Roman" w:hAnsi="Times New Roman" w:eastAsia="黑体"/>
          <w:sz w:val="32"/>
          <w:szCs w:val="32"/>
        </w:rPr>
      </w:pPr>
      <w:r>
        <w:rPr>
          <w:rFonts w:hint="eastAsia" w:ascii="Times New Roman" w:hAnsi="Times New Roman" w:eastAsia="黑体"/>
          <w:sz w:val="32"/>
          <w:szCs w:val="32"/>
        </w:rPr>
        <w:t>表1-1  年度投资表（万元）</w:t>
      </w:r>
    </w:p>
    <w:tbl>
      <w:tblPr>
        <w:tblStyle w:val="8"/>
        <w:tblW w:w="4900" w:type="pct"/>
        <w:jc w:val="center"/>
        <w:tblLayout w:type="autofit"/>
        <w:tblCellMar>
          <w:top w:w="0" w:type="dxa"/>
          <w:left w:w="108" w:type="dxa"/>
          <w:bottom w:w="0" w:type="dxa"/>
          <w:right w:w="108" w:type="dxa"/>
        </w:tblCellMar>
      </w:tblPr>
      <w:tblGrid>
        <w:gridCol w:w="2218"/>
        <w:gridCol w:w="2219"/>
        <w:gridCol w:w="2219"/>
        <w:gridCol w:w="2223"/>
      </w:tblGrid>
      <w:tr>
        <w:tblPrEx>
          <w:tblCellMar>
            <w:top w:w="0" w:type="dxa"/>
            <w:left w:w="108" w:type="dxa"/>
            <w:bottom w:w="0" w:type="dxa"/>
            <w:right w:w="108" w:type="dxa"/>
          </w:tblCellMar>
        </w:tblPrEx>
        <w:trPr>
          <w:trHeight w:val="536" w:hRule="atLeast"/>
          <w:jc w:val="center"/>
        </w:trPr>
        <w:tc>
          <w:tcPr>
            <w:tcW w:w="1249" w:type="pct"/>
            <w:tcBorders>
              <w:top w:val="single" w:color="000000" w:sz="8" w:space="0"/>
              <w:left w:val="single" w:color="000000" w:sz="8" w:space="0"/>
              <w:bottom w:val="single" w:color="000000" w:sz="8" w:space="0"/>
              <w:right w:val="single" w:color="000000" w:sz="8" w:space="0"/>
            </w:tcBorders>
            <w:vAlign w:val="center"/>
          </w:tcPr>
          <w:p>
            <w:pPr>
              <w:spacing w:line="360" w:lineRule="exact"/>
              <w:jc w:val="center"/>
              <w:rPr>
                <w:rFonts w:hint="eastAsia" w:ascii="黑体" w:hAnsi="黑体" w:eastAsia="黑体" w:cs="仿宋_GB2312"/>
                <w:sz w:val="28"/>
                <w:szCs w:val="28"/>
                <w:lang w:val="zh-TW"/>
              </w:rPr>
            </w:pPr>
            <w:r>
              <w:rPr>
                <w:rFonts w:hint="eastAsia" w:ascii="Times New Roman" w:hAnsi="Times New Roman" w:eastAsia="黑体" w:cs="仿宋_GB2312"/>
                <w:sz w:val="28"/>
                <w:szCs w:val="28"/>
                <w:lang w:val="zh-TW"/>
              </w:rPr>
              <w:t>年  度</w:t>
            </w:r>
          </w:p>
        </w:tc>
        <w:tc>
          <w:tcPr>
            <w:tcW w:w="1249" w:type="pct"/>
            <w:tcBorders>
              <w:top w:val="single" w:color="000000" w:sz="8" w:space="0"/>
              <w:left w:val="single" w:color="000000" w:sz="8" w:space="0"/>
              <w:bottom w:val="single" w:color="000000" w:sz="8" w:space="0"/>
              <w:right w:val="single" w:color="000000" w:sz="8" w:space="0"/>
            </w:tcBorders>
            <w:vAlign w:val="center"/>
          </w:tcPr>
          <w:p>
            <w:pPr>
              <w:spacing w:line="360" w:lineRule="exact"/>
              <w:jc w:val="center"/>
              <w:rPr>
                <w:rFonts w:hint="eastAsia" w:ascii="黑体" w:hAnsi="黑体" w:eastAsia="黑体" w:cs="仿宋_GB2312"/>
                <w:sz w:val="28"/>
                <w:szCs w:val="28"/>
                <w:lang w:val="zh-TW"/>
              </w:rPr>
            </w:pPr>
            <w:r>
              <w:rPr>
                <w:rFonts w:hint="eastAsia" w:ascii="Times New Roman" w:hAnsi="Times New Roman" w:eastAsia="黑体" w:cs="仿宋_GB2312"/>
                <w:sz w:val="28"/>
                <w:szCs w:val="28"/>
                <w:lang w:val="zh-TW"/>
              </w:rPr>
              <w:t>完成投资</w:t>
            </w:r>
          </w:p>
        </w:tc>
        <w:tc>
          <w:tcPr>
            <w:tcW w:w="1249" w:type="pct"/>
            <w:tcBorders>
              <w:top w:val="single" w:color="000000" w:sz="8" w:space="0"/>
              <w:left w:val="single" w:color="000000" w:sz="8" w:space="0"/>
              <w:bottom w:val="single" w:color="000000" w:sz="8" w:space="0"/>
              <w:right w:val="single" w:color="000000" w:sz="8" w:space="0"/>
            </w:tcBorders>
            <w:vAlign w:val="center"/>
          </w:tcPr>
          <w:p>
            <w:pPr>
              <w:spacing w:line="360" w:lineRule="exact"/>
              <w:jc w:val="center"/>
              <w:rPr>
                <w:rFonts w:hint="eastAsia" w:ascii="黑体" w:hAnsi="黑体" w:eastAsia="黑体" w:cs="仿宋_GB2312"/>
                <w:sz w:val="28"/>
                <w:szCs w:val="28"/>
                <w:lang w:val="zh-TW"/>
              </w:rPr>
            </w:pPr>
            <w:r>
              <w:rPr>
                <w:rFonts w:hint="eastAsia" w:ascii="Times New Roman" w:hAnsi="Times New Roman" w:eastAsia="黑体" w:cs="仿宋_GB2312"/>
                <w:sz w:val="28"/>
                <w:szCs w:val="28"/>
                <w:lang w:val="zh-TW"/>
              </w:rPr>
              <w:t>完成中央投资</w:t>
            </w:r>
          </w:p>
        </w:tc>
        <w:tc>
          <w:tcPr>
            <w:tcW w:w="1251" w:type="pct"/>
            <w:tcBorders>
              <w:top w:val="single" w:color="000000" w:sz="8" w:space="0"/>
              <w:left w:val="single" w:color="000000" w:sz="8" w:space="0"/>
              <w:bottom w:val="single" w:color="000000" w:sz="8" w:space="0"/>
              <w:right w:val="single" w:color="000000" w:sz="8" w:space="0"/>
            </w:tcBorders>
            <w:vAlign w:val="center"/>
          </w:tcPr>
          <w:p>
            <w:pPr>
              <w:spacing w:line="360" w:lineRule="exact"/>
              <w:jc w:val="center"/>
              <w:rPr>
                <w:rFonts w:hint="eastAsia" w:ascii="黑体" w:hAnsi="黑体" w:eastAsia="黑体" w:cs="仿宋_GB2312"/>
                <w:sz w:val="28"/>
                <w:szCs w:val="28"/>
                <w:lang w:val="zh-TW"/>
              </w:rPr>
            </w:pPr>
            <w:r>
              <w:rPr>
                <w:rFonts w:hint="eastAsia" w:ascii="Times New Roman" w:hAnsi="Times New Roman" w:eastAsia="黑体" w:cs="仿宋_GB2312"/>
                <w:sz w:val="28"/>
                <w:szCs w:val="28"/>
                <w:lang w:val="zh-TW"/>
              </w:rPr>
              <w:t>地方投资</w:t>
            </w:r>
          </w:p>
        </w:tc>
      </w:tr>
      <w:tr>
        <w:tblPrEx>
          <w:tblCellMar>
            <w:top w:w="0" w:type="dxa"/>
            <w:left w:w="108" w:type="dxa"/>
            <w:bottom w:w="0" w:type="dxa"/>
            <w:right w:w="108" w:type="dxa"/>
          </w:tblCellMar>
        </w:tblPrEx>
        <w:trPr>
          <w:trHeight w:val="527" w:hRule="atLeast"/>
          <w:jc w:val="center"/>
        </w:trPr>
        <w:tc>
          <w:tcPr>
            <w:tcW w:w="1249" w:type="pct"/>
            <w:tcBorders>
              <w:top w:val="nil"/>
              <w:left w:val="single" w:color="000000" w:sz="8" w:space="0"/>
              <w:bottom w:val="single" w:color="000000" w:sz="8" w:space="0"/>
              <w:right w:val="single" w:color="000000" w:sz="8" w:space="0"/>
            </w:tcBorders>
            <w:vAlign w:val="center"/>
          </w:tcPr>
          <w:p>
            <w:pPr>
              <w:spacing w:line="360" w:lineRule="exact"/>
              <w:ind w:firstLine="840"/>
              <w:rPr>
                <w:rFonts w:hint="eastAsia" w:ascii="Times New Roman" w:hAnsi="Times New Roman" w:eastAsia="仿宋_GB2312" w:cs="仿宋_GB2312"/>
                <w:sz w:val="28"/>
                <w:szCs w:val="28"/>
                <w:lang w:val="zh-TW"/>
              </w:rPr>
            </w:pPr>
            <w:r>
              <w:rPr>
                <w:rFonts w:hint="eastAsia" w:ascii="Times New Roman" w:hAnsi="Times New Roman" w:eastAsia="仿宋_GB2312" w:cs="仿宋_GB2312"/>
                <w:sz w:val="28"/>
                <w:szCs w:val="28"/>
                <w:lang w:val="zh-TW"/>
              </w:rPr>
              <w:t>2016</w:t>
            </w:r>
          </w:p>
        </w:tc>
        <w:tc>
          <w:tcPr>
            <w:tcW w:w="1249" w:type="pct"/>
            <w:tcBorders>
              <w:top w:val="nil"/>
              <w:left w:val="single" w:color="000000" w:sz="8" w:space="0"/>
              <w:bottom w:val="single" w:color="000000" w:sz="8" w:space="0"/>
              <w:right w:val="single" w:color="000000" w:sz="8" w:space="0"/>
            </w:tcBorders>
            <w:vAlign w:val="center"/>
          </w:tcPr>
          <w:p>
            <w:pPr>
              <w:spacing w:line="360" w:lineRule="exact"/>
              <w:ind w:firstLine="560"/>
              <w:rPr>
                <w:rFonts w:hint="eastAsia" w:ascii="Times New Roman" w:hAnsi="Times New Roman" w:eastAsia="仿宋_GB2312" w:cs="仿宋_GB2312"/>
                <w:sz w:val="28"/>
                <w:szCs w:val="28"/>
                <w:lang w:val="zh-TW"/>
              </w:rPr>
            </w:pPr>
            <w:r>
              <w:rPr>
                <w:rFonts w:hint="eastAsia" w:ascii="Times New Roman" w:hAnsi="Times New Roman" w:eastAsia="仿宋_GB2312" w:cs="仿宋_GB2312"/>
                <w:sz w:val="28"/>
                <w:szCs w:val="28"/>
                <w:lang w:val="zh-TW"/>
              </w:rPr>
              <w:t>20092</w:t>
            </w:r>
          </w:p>
        </w:tc>
        <w:tc>
          <w:tcPr>
            <w:tcW w:w="1249" w:type="pct"/>
            <w:tcBorders>
              <w:top w:val="nil"/>
              <w:left w:val="single" w:color="000000" w:sz="8" w:space="0"/>
              <w:bottom w:val="single" w:color="000000" w:sz="8" w:space="0"/>
              <w:right w:val="single" w:color="000000" w:sz="8" w:space="0"/>
            </w:tcBorders>
            <w:vAlign w:val="center"/>
          </w:tcPr>
          <w:p>
            <w:pPr>
              <w:spacing w:line="360" w:lineRule="exact"/>
              <w:ind w:firstLine="560"/>
              <w:rPr>
                <w:rFonts w:hint="eastAsia" w:ascii="Times New Roman" w:hAnsi="Times New Roman" w:eastAsia="仿宋_GB2312" w:cs="仿宋_GB2312"/>
                <w:sz w:val="28"/>
                <w:szCs w:val="28"/>
                <w:lang w:val="zh-TW"/>
              </w:rPr>
            </w:pPr>
            <w:r>
              <w:rPr>
                <w:rFonts w:hint="eastAsia" w:ascii="Times New Roman" w:hAnsi="Times New Roman" w:eastAsia="仿宋_GB2312" w:cs="仿宋_GB2312"/>
                <w:sz w:val="28"/>
                <w:szCs w:val="28"/>
                <w:lang w:val="zh-TW"/>
              </w:rPr>
              <w:t>10900</w:t>
            </w:r>
          </w:p>
        </w:tc>
        <w:tc>
          <w:tcPr>
            <w:tcW w:w="1251" w:type="pct"/>
            <w:tcBorders>
              <w:top w:val="nil"/>
              <w:left w:val="single" w:color="000000" w:sz="8" w:space="0"/>
              <w:bottom w:val="single" w:color="000000" w:sz="8" w:space="0"/>
              <w:right w:val="single" w:color="000000" w:sz="8" w:space="0"/>
            </w:tcBorders>
            <w:vAlign w:val="center"/>
          </w:tcPr>
          <w:p>
            <w:pPr>
              <w:spacing w:line="360" w:lineRule="exact"/>
              <w:ind w:firstLine="560"/>
              <w:rPr>
                <w:rFonts w:hint="eastAsia" w:ascii="Times New Roman" w:hAnsi="Times New Roman" w:eastAsia="仿宋_GB2312" w:cs="仿宋_GB2312"/>
                <w:sz w:val="28"/>
                <w:szCs w:val="28"/>
                <w:lang w:val="zh-TW"/>
              </w:rPr>
            </w:pPr>
            <w:r>
              <w:rPr>
                <w:rFonts w:hint="eastAsia" w:ascii="Times New Roman" w:hAnsi="Times New Roman" w:eastAsia="仿宋_GB2312" w:cs="仿宋_GB2312"/>
                <w:sz w:val="28"/>
                <w:szCs w:val="28"/>
                <w:lang w:val="zh-TW"/>
              </w:rPr>
              <w:t>9192</w:t>
            </w:r>
          </w:p>
        </w:tc>
      </w:tr>
      <w:tr>
        <w:tblPrEx>
          <w:tblCellMar>
            <w:top w:w="0" w:type="dxa"/>
            <w:left w:w="108" w:type="dxa"/>
            <w:bottom w:w="0" w:type="dxa"/>
            <w:right w:w="108" w:type="dxa"/>
          </w:tblCellMar>
        </w:tblPrEx>
        <w:trPr>
          <w:trHeight w:val="527" w:hRule="atLeast"/>
          <w:jc w:val="center"/>
        </w:trPr>
        <w:tc>
          <w:tcPr>
            <w:tcW w:w="1249" w:type="pct"/>
            <w:tcBorders>
              <w:top w:val="nil"/>
              <w:left w:val="single" w:color="000000" w:sz="8" w:space="0"/>
              <w:bottom w:val="single" w:color="000000" w:sz="8" w:space="0"/>
              <w:right w:val="single" w:color="000000" w:sz="8" w:space="0"/>
            </w:tcBorders>
            <w:vAlign w:val="center"/>
          </w:tcPr>
          <w:p>
            <w:pPr>
              <w:spacing w:line="360" w:lineRule="exact"/>
              <w:ind w:firstLine="840"/>
              <w:rPr>
                <w:rFonts w:hint="eastAsia" w:ascii="Times New Roman" w:hAnsi="Times New Roman" w:eastAsia="仿宋_GB2312" w:cs="仿宋_GB2312"/>
                <w:sz w:val="28"/>
                <w:szCs w:val="28"/>
                <w:lang w:val="zh-TW"/>
              </w:rPr>
            </w:pPr>
            <w:r>
              <w:rPr>
                <w:rFonts w:hint="eastAsia" w:ascii="Times New Roman" w:hAnsi="Times New Roman" w:eastAsia="仿宋_GB2312" w:cs="仿宋_GB2312"/>
                <w:sz w:val="28"/>
                <w:szCs w:val="28"/>
                <w:lang w:val="zh-TW"/>
              </w:rPr>
              <w:t>2017</w:t>
            </w:r>
          </w:p>
        </w:tc>
        <w:tc>
          <w:tcPr>
            <w:tcW w:w="1249" w:type="pct"/>
            <w:tcBorders>
              <w:top w:val="nil"/>
              <w:left w:val="single" w:color="000000" w:sz="8" w:space="0"/>
              <w:bottom w:val="single" w:color="000000" w:sz="8" w:space="0"/>
              <w:right w:val="single" w:color="000000" w:sz="8" w:space="0"/>
            </w:tcBorders>
            <w:vAlign w:val="center"/>
          </w:tcPr>
          <w:p>
            <w:pPr>
              <w:spacing w:line="360" w:lineRule="exact"/>
              <w:ind w:firstLine="560"/>
              <w:rPr>
                <w:rFonts w:hint="eastAsia" w:ascii="Times New Roman" w:hAnsi="Times New Roman" w:eastAsia="仿宋_GB2312" w:cs="仿宋_GB2312"/>
                <w:sz w:val="28"/>
                <w:szCs w:val="28"/>
                <w:lang w:val="zh-TW"/>
              </w:rPr>
            </w:pPr>
            <w:r>
              <w:rPr>
                <w:rFonts w:hint="eastAsia" w:ascii="Times New Roman" w:hAnsi="Times New Roman" w:eastAsia="仿宋_GB2312" w:cs="仿宋_GB2312"/>
                <w:sz w:val="28"/>
                <w:szCs w:val="28"/>
                <w:lang w:val="zh-TW"/>
              </w:rPr>
              <w:t>56272</w:t>
            </w:r>
          </w:p>
        </w:tc>
        <w:tc>
          <w:tcPr>
            <w:tcW w:w="1249" w:type="pct"/>
            <w:tcBorders>
              <w:top w:val="nil"/>
              <w:left w:val="single" w:color="000000" w:sz="8" w:space="0"/>
              <w:bottom w:val="single" w:color="000000" w:sz="8" w:space="0"/>
              <w:right w:val="single" w:color="000000" w:sz="8" w:space="0"/>
            </w:tcBorders>
            <w:vAlign w:val="center"/>
          </w:tcPr>
          <w:p>
            <w:pPr>
              <w:spacing w:line="360" w:lineRule="exact"/>
              <w:ind w:firstLine="560"/>
              <w:rPr>
                <w:rFonts w:hint="eastAsia" w:ascii="Times New Roman" w:hAnsi="Times New Roman" w:eastAsia="仿宋_GB2312" w:cs="仿宋_GB2312"/>
                <w:sz w:val="28"/>
                <w:szCs w:val="28"/>
                <w:lang w:val="zh-TW"/>
              </w:rPr>
            </w:pPr>
            <w:r>
              <w:rPr>
                <w:rFonts w:hint="eastAsia" w:ascii="Times New Roman" w:hAnsi="Times New Roman" w:eastAsia="仿宋_GB2312" w:cs="仿宋_GB2312"/>
                <w:sz w:val="28"/>
                <w:szCs w:val="28"/>
                <w:lang w:val="zh-TW"/>
              </w:rPr>
              <w:t>35898</w:t>
            </w:r>
          </w:p>
        </w:tc>
        <w:tc>
          <w:tcPr>
            <w:tcW w:w="1251" w:type="pct"/>
            <w:tcBorders>
              <w:top w:val="nil"/>
              <w:left w:val="single" w:color="000000" w:sz="8" w:space="0"/>
              <w:bottom w:val="single" w:color="000000" w:sz="8" w:space="0"/>
              <w:right w:val="single" w:color="000000" w:sz="8" w:space="0"/>
            </w:tcBorders>
            <w:vAlign w:val="center"/>
          </w:tcPr>
          <w:p>
            <w:pPr>
              <w:spacing w:line="360" w:lineRule="exact"/>
              <w:ind w:firstLine="560"/>
              <w:rPr>
                <w:rFonts w:hint="eastAsia" w:ascii="Times New Roman" w:hAnsi="Times New Roman" w:eastAsia="仿宋_GB2312" w:cs="仿宋_GB2312"/>
                <w:sz w:val="28"/>
                <w:szCs w:val="28"/>
                <w:lang w:val="zh-TW"/>
              </w:rPr>
            </w:pPr>
            <w:r>
              <w:rPr>
                <w:rFonts w:hint="eastAsia" w:ascii="Times New Roman" w:hAnsi="Times New Roman" w:eastAsia="仿宋_GB2312" w:cs="仿宋_GB2312"/>
                <w:sz w:val="28"/>
                <w:szCs w:val="28"/>
                <w:lang w:val="zh-TW"/>
              </w:rPr>
              <w:t>20374</w:t>
            </w:r>
          </w:p>
        </w:tc>
      </w:tr>
      <w:tr>
        <w:tblPrEx>
          <w:tblCellMar>
            <w:top w:w="0" w:type="dxa"/>
            <w:left w:w="108" w:type="dxa"/>
            <w:bottom w:w="0" w:type="dxa"/>
            <w:right w:w="108" w:type="dxa"/>
          </w:tblCellMar>
        </w:tblPrEx>
        <w:trPr>
          <w:trHeight w:val="527" w:hRule="atLeast"/>
          <w:jc w:val="center"/>
        </w:trPr>
        <w:tc>
          <w:tcPr>
            <w:tcW w:w="1249" w:type="pct"/>
            <w:tcBorders>
              <w:top w:val="nil"/>
              <w:left w:val="single" w:color="000000" w:sz="8" w:space="0"/>
              <w:bottom w:val="single" w:color="000000" w:sz="8" w:space="0"/>
              <w:right w:val="single" w:color="000000" w:sz="8" w:space="0"/>
            </w:tcBorders>
            <w:vAlign w:val="center"/>
          </w:tcPr>
          <w:p>
            <w:pPr>
              <w:spacing w:line="360" w:lineRule="exact"/>
              <w:ind w:firstLine="840"/>
              <w:rPr>
                <w:rFonts w:hint="eastAsia" w:ascii="Times New Roman" w:hAnsi="Times New Roman" w:eastAsia="仿宋_GB2312" w:cs="仿宋_GB2312"/>
                <w:sz w:val="28"/>
                <w:szCs w:val="28"/>
                <w:lang w:val="zh-TW"/>
              </w:rPr>
            </w:pPr>
            <w:r>
              <w:rPr>
                <w:rFonts w:hint="eastAsia" w:ascii="Times New Roman" w:hAnsi="Times New Roman" w:eastAsia="仿宋_GB2312" w:cs="仿宋_GB2312"/>
                <w:sz w:val="28"/>
                <w:szCs w:val="28"/>
                <w:lang w:val="zh-TW"/>
              </w:rPr>
              <w:t>2018</w:t>
            </w:r>
          </w:p>
        </w:tc>
        <w:tc>
          <w:tcPr>
            <w:tcW w:w="1249" w:type="pct"/>
            <w:tcBorders>
              <w:top w:val="nil"/>
              <w:left w:val="single" w:color="000000" w:sz="8" w:space="0"/>
              <w:bottom w:val="single" w:color="000000" w:sz="8" w:space="0"/>
              <w:right w:val="single" w:color="000000" w:sz="8" w:space="0"/>
            </w:tcBorders>
            <w:vAlign w:val="center"/>
          </w:tcPr>
          <w:p>
            <w:pPr>
              <w:spacing w:line="360" w:lineRule="exact"/>
              <w:ind w:firstLine="560"/>
              <w:rPr>
                <w:rFonts w:hint="eastAsia" w:ascii="Times New Roman" w:hAnsi="Times New Roman" w:eastAsia="仿宋_GB2312" w:cs="仿宋_GB2312"/>
                <w:sz w:val="28"/>
                <w:szCs w:val="28"/>
                <w:lang w:val="zh-TW"/>
              </w:rPr>
            </w:pPr>
            <w:r>
              <w:rPr>
                <w:rFonts w:hint="eastAsia" w:ascii="Times New Roman" w:hAnsi="Times New Roman" w:eastAsia="仿宋_GB2312" w:cs="仿宋_GB2312"/>
                <w:sz w:val="28"/>
                <w:szCs w:val="28"/>
                <w:lang w:val="zh-TW"/>
              </w:rPr>
              <w:t>111408</w:t>
            </w:r>
          </w:p>
        </w:tc>
        <w:tc>
          <w:tcPr>
            <w:tcW w:w="1249" w:type="pct"/>
            <w:tcBorders>
              <w:top w:val="nil"/>
              <w:left w:val="single" w:color="000000" w:sz="8" w:space="0"/>
              <w:bottom w:val="single" w:color="000000" w:sz="8" w:space="0"/>
              <w:right w:val="single" w:color="000000" w:sz="8" w:space="0"/>
            </w:tcBorders>
            <w:vAlign w:val="center"/>
          </w:tcPr>
          <w:p>
            <w:pPr>
              <w:spacing w:line="360" w:lineRule="exact"/>
              <w:ind w:firstLine="560"/>
              <w:rPr>
                <w:rFonts w:hint="eastAsia" w:ascii="Times New Roman" w:hAnsi="Times New Roman" w:eastAsia="仿宋_GB2312" w:cs="仿宋_GB2312"/>
                <w:sz w:val="28"/>
                <w:szCs w:val="28"/>
                <w:lang w:val="zh-TW"/>
              </w:rPr>
            </w:pPr>
            <w:r>
              <w:rPr>
                <w:rFonts w:hint="eastAsia" w:ascii="Times New Roman" w:hAnsi="Times New Roman" w:eastAsia="仿宋_GB2312" w:cs="仿宋_GB2312"/>
                <w:sz w:val="28"/>
                <w:szCs w:val="28"/>
                <w:lang w:val="zh-TW"/>
              </w:rPr>
              <w:t>107110</w:t>
            </w:r>
          </w:p>
        </w:tc>
        <w:tc>
          <w:tcPr>
            <w:tcW w:w="1251" w:type="pct"/>
            <w:tcBorders>
              <w:top w:val="nil"/>
              <w:left w:val="single" w:color="000000" w:sz="8" w:space="0"/>
              <w:bottom w:val="single" w:color="000000" w:sz="8" w:space="0"/>
              <w:right w:val="single" w:color="000000" w:sz="8" w:space="0"/>
            </w:tcBorders>
            <w:vAlign w:val="center"/>
          </w:tcPr>
          <w:p>
            <w:pPr>
              <w:spacing w:line="360" w:lineRule="exact"/>
              <w:ind w:firstLine="560"/>
              <w:rPr>
                <w:rFonts w:hint="eastAsia" w:ascii="Times New Roman" w:hAnsi="Times New Roman" w:eastAsia="仿宋_GB2312" w:cs="仿宋_GB2312"/>
                <w:sz w:val="28"/>
                <w:szCs w:val="28"/>
                <w:lang w:val="zh-TW"/>
              </w:rPr>
            </w:pPr>
            <w:r>
              <w:rPr>
                <w:rFonts w:hint="eastAsia" w:ascii="Times New Roman" w:hAnsi="Times New Roman" w:eastAsia="仿宋_GB2312" w:cs="仿宋_GB2312"/>
                <w:sz w:val="28"/>
                <w:szCs w:val="28"/>
                <w:lang w:val="zh-TW"/>
              </w:rPr>
              <w:t>4298</w:t>
            </w:r>
          </w:p>
        </w:tc>
      </w:tr>
      <w:tr>
        <w:tblPrEx>
          <w:tblCellMar>
            <w:top w:w="0" w:type="dxa"/>
            <w:left w:w="108" w:type="dxa"/>
            <w:bottom w:w="0" w:type="dxa"/>
            <w:right w:w="108" w:type="dxa"/>
          </w:tblCellMar>
        </w:tblPrEx>
        <w:trPr>
          <w:trHeight w:val="527" w:hRule="atLeast"/>
          <w:jc w:val="center"/>
        </w:trPr>
        <w:tc>
          <w:tcPr>
            <w:tcW w:w="1249" w:type="pct"/>
            <w:tcBorders>
              <w:top w:val="nil"/>
              <w:left w:val="single" w:color="000000" w:sz="8" w:space="0"/>
              <w:bottom w:val="single" w:color="000000" w:sz="8" w:space="0"/>
              <w:right w:val="single" w:color="000000" w:sz="8" w:space="0"/>
            </w:tcBorders>
            <w:vAlign w:val="center"/>
          </w:tcPr>
          <w:p>
            <w:pPr>
              <w:spacing w:line="360" w:lineRule="exact"/>
              <w:ind w:firstLine="840"/>
              <w:rPr>
                <w:rFonts w:hint="eastAsia" w:ascii="Times New Roman" w:hAnsi="Times New Roman" w:eastAsia="仿宋_GB2312" w:cs="仿宋_GB2312"/>
                <w:sz w:val="28"/>
                <w:szCs w:val="28"/>
                <w:lang w:val="zh-TW"/>
              </w:rPr>
            </w:pPr>
            <w:r>
              <w:rPr>
                <w:rFonts w:hint="eastAsia" w:ascii="Times New Roman" w:hAnsi="Times New Roman" w:eastAsia="仿宋_GB2312" w:cs="仿宋_GB2312"/>
                <w:sz w:val="28"/>
                <w:szCs w:val="28"/>
                <w:lang w:val="zh-TW"/>
              </w:rPr>
              <w:t>2019</w:t>
            </w:r>
          </w:p>
        </w:tc>
        <w:tc>
          <w:tcPr>
            <w:tcW w:w="1249" w:type="pct"/>
            <w:tcBorders>
              <w:top w:val="nil"/>
              <w:left w:val="single" w:color="000000" w:sz="8" w:space="0"/>
              <w:bottom w:val="single" w:color="000000" w:sz="8" w:space="0"/>
              <w:right w:val="single" w:color="000000" w:sz="8" w:space="0"/>
            </w:tcBorders>
            <w:vAlign w:val="center"/>
          </w:tcPr>
          <w:p>
            <w:pPr>
              <w:spacing w:line="360" w:lineRule="exact"/>
              <w:ind w:firstLine="560"/>
              <w:rPr>
                <w:rFonts w:hint="eastAsia" w:ascii="Times New Roman" w:hAnsi="Times New Roman" w:eastAsia="仿宋_GB2312" w:cs="仿宋_GB2312"/>
                <w:sz w:val="28"/>
                <w:szCs w:val="28"/>
                <w:lang w:val="zh-TW"/>
              </w:rPr>
            </w:pPr>
            <w:r>
              <w:rPr>
                <w:rFonts w:hint="eastAsia" w:ascii="Times New Roman" w:hAnsi="Times New Roman" w:eastAsia="仿宋_GB2312" w:cs="仿宋_GB2312"/>
                <w:sz w:val="28"/>
                <w:szCs w:val="28"/>
                <w:lang w:val="zh-TW"/>
              </w:rPr>
              <w:t>10983</w:t>
            </w:r>
          </w:p>
        </w:tc>
        <w:tc>
          <w:tcPr>
            <w:tcW w:w="1249" w:type="pct"/>
            <w:tcBorders>
              <w:top w:val="nil"/>
              <w:left w:val="single" w:color="000000" w:sz="8" w:space="0"/>
              <w:bottom w:val="single" w:color="000000" w:sz="8" w:space="0"/>
              <w:right w:val="single" w:color="000000" w:sz="8" w:space="0"/>
            </w:tcBorders>
            <w:vAlign w:val="center"/>
          </w:tcPr>
          <w:p>
            <w:pPr>
              <w:spacing w:line="360" w:lineRule="exact"/>
              <w:ind w:firstLine="560"/>
              <w:rPr>
                <w:rFonts w:hint="eastAsia" w:ascii="Times New Roman" w:hAnsi="Times New Roman" w:eastAsia="仿宋_GB2312" w:cs="仿宋_GB2312"/>
                <w:sz w:val="28"/>
                <w:szCs w:val="28"/>
                <w:lang w:val="zh-TW"/>
              </w:rPr>
            </w:pPr>
            <w:r>
              <w:rPr>
                <w:rFonts w:hint="eastAsia" w:ascii="Times New Roman" w:hAnsi="Times New Roman" w:eastAsia="仿宋_GB2312" w:cs="仿宋_GB2312"/>
                <w:sz w:val="28"/>
                <w:szCs w:val="28"/>
                <w:lang w:val="zh-TW"/>
              </w:rPr>
              <w:t>7226</w:t>
            </w:r>
          </w:p>
        </w:tc>
        <w:tc>
          <w:tcPr>
            <w:tcW w:w="1251" w:type="pct"/>
            <w:tcBorders>
              <w:top w:val="nil"/>
              <w:left w:val="single" w:color="000000" w:sz="8" w:space="0"/>
              <w:bottom w:val="single" w:color="000000" w:sz="8" w:space="0"/>
              <w:right w:val="single" w:color="000000" w:sz="8" w:space="0"/>
            </w:tcBorders>
            <w:vAlign w:val="center"/>
          </w:tcPr>
          <w:p>
            <w:pPr>
              <w:spacing w:line="360" w:lineRule="exact"/>
              <w:ind w:firstLine="560"/>
              <w:rPr>
                <w:rFonts w:hint="eastAsia" w:ascii="Times New Roman" w:hAnsi="Times New Roman" w:eastAsia="仿宋_GB2312" w:cs="仿宋_GB2312"/>
                <w:sz w:val="28"/>
                <w:szCs w:val="28"/>
                <w:lang w:val="zh-TW"/>
              </w:rPr>
            </w:pPr>
            <w:r>
              <w:rPr>
                <w:rFonts w:hint="eastAsia" w:ascii="Times New Roman" w:hAnsi="Times New Roman" w:eastAsia="仿宋_GB2312" w:cs="仿宋_GB2312"/>
                <w:sz w:val="28"/>
                <w:szCs w:val="28"/>
                <w:lang w:val="zh-TW"/>
              </w:rPr>
              <w:t>3757</w:t>
            </w:r>
          </w:p>
        </w:tc>
      </w:tr>
      <w:tr>
        <w:tblPrEx>
          <w:tblCellMar>
            <w:top w:w="0" w:type="dxa"/>
            <w:left w:w="108" w:type="dxa"/>
            <w:bottom w:w="0" w:type="dxa"/>
            <w:right w:w="108" w:type="dxa"/>
          </w:tblCellMar>
        </w:tblPrEx>
        <w:trPr>
          <w:trHeight w:val="527" w:hRule="atLeast"/>
          <w:jc w:val="center"/>
        </w:trPr>
        <w:tc>
          <w:tcPr>
            <w:tcW w:w="1249" w:type="pct"/>
            <w:tcBorders>
              <w:top w:val="nil"/>
              <w:left w:val="single" w:color="000000" w:sz="8" w:space="0"/>
              <w:bottom w:val="single" w:color="000000" w:sz="8" w:space="0"/>
              <w:right w:val="single" w:color="000000" w:sz="8" w:space="0"/>
            </w:tcBorders>
            <w:vAlign w:val="center"/>
          </w:tcPr>
          <w:p>
            <w:pPr>
              <w:spacing w:line="360" w:lineRule="exact"/>
              <w:ind w:firstLine="840"/>
              <w:rPr>
                <w:rFonts w:hint="eastAsia" w:ascii="Times New Roman" w:hAnsi="Times New Roman" w:eastAsia="仿宋_GB2312" w:cs="仿宋_GB2312"/>
                <w:sz w:val="28"/>
                <w:szCs w:val="28"/>
                <w:lang w:val="zh-TW"/>
              </w:rPr>
            </w:pPr>
            <w:r>
              <w:rPr>
                <w:rFonts w:hint="eastAsia" w:ascii="Times New Roman" w:hAnsi="Times New Roman" w:eastAsia="仿宋_GB2312" w:cs="仿宋_GB2312"/>
                <w:sz w:val="28"/>
                <w:szCs w:val="28"/>
                <w:lang w:val="zh-TW"/>
              </w:rPr>
              <w:t>2020</w:t>
            </w:r>
          </w:p>
        </w:tc>
        <w:tc>
          <w:tcPr>
            <w:tcW w:w="1249" w:type="pct"/>
            <w:tcBorders>
              <w:top w:val="nil"/>
              <w:left w:val="single" w:color="000000" w:sz="8" w:space="0"/>
              <w:bottom w:val="single" w:color="000000" w:sz="8" w:space="0"/>
              <w:right w:val="single" w:color="000000" w:sz="8" w:space="0"/>
            </w:tcBorders>
            <w:vAlign w:val="center"/>
          </w:tcPr>
          <w:p>
            <w:pPr>
              <w:spacing w:line="360" w:lineRule="exact"/>
              <w:ind w:firstLine="560"/>
              <w:rPr>
                <w:rFonts w:hint="eastAsia" w:ascii="Times New Roman" w:hAnsi="Times New Roman" w:eastAsia="仿宋_GB2312" w:cs="仿宋_GB2312"/>
                <w:sz w:val="28"/>
                <w:szCs w:val="28"/>
                <w:lang w:val="zh-TW"/>
              </w:rPr>
            </w:pPr>
            <w:r>
              <w:rPr>
                <w:rFonts w:hint="eastAsia" w:ascii="Times New Roman" w:hAnsi="Times New Roman" w:eastAsia="仿宋_GB2312" w:cs="仿宋_GB2312"/>
                <w:sz w:val="28"/>
                <w:szCs w:val="28"/>
                <w:lang w:val="zh-TW"/>
              </w:rPr>
              <w:t>7356</w:t>
            </w:r>
          </w:p>
        </w:tc>
        <w:tc>
          <w:tcPr>
            <w:tcW w:w="1249" w:type="pct"/>
            <w:tcBorders>
              <w:top w:val="nil"/>
              <w:left w:val="single" w:color="000000" w:sz="8" w:space="0"/>
              <w:bottom w:val="single" w:color="000000" w:sz="8" w:space="0"/>
              <w:right w:val="single" w:color="000000" w:sz="8" w:space="0"/>
            </w:tcBorders>
            <w:vAlign w:val="center"/>
          </w:tcPr>
          <w:p>
            <w:pPr>
              <w:spacing w:line="360" w:lineRule="exact"/>
              <w:ind w:firstLine="560"/>
              <w:rPr>
                <w:rFonts w:hint="eastAsia" w:ascii="Times New Roman" w:hAnsi="Times New Roman" w:eastAsia="仿宋_GB2312" w:cs="仿宋_GB2312"/>
                <w:sz w:val="28"/>
                <w:szCs w:val="28"/>
                <w:lang w:val="zh-TW"/>
              </w:rPr>
            </w:pPr>
            <w:r>
              <w:rPr>
                <w:rFonts w:hint="eastAsia" w:ascii="Times New Roman" w:hAnsi="Times New Roman" w:eastAsia="仿宋_GB2312" w:cs="仿宋_GB2312"/>
                <w:sz w:val="28"/>
                <w:szCs w:val="28"/>
                <w:lang w:val="zh-TW"/>
              </w:rPr>
              <w:t>6044</w:t>
            </w:r>
          </w:p>
        </w:tc>
        <w:tc>
          <w:tcPr>
            <w:tcW w:w="1251" w:type="pct"/>
            <w:tcBorders>
              <w:top w:val="nil"/>
              <w:left w:val="single" w:color="000000" w:sz="8" w:space="0"/>
              <w:bottom w:val="single" w:color="000000" w:sz="8" w:space="0"/>
              <w:right w:val="single" w:color="000000" w:sz="8" w:space="0"/>
            </w:tcBorders>
            <w:vAlign w:val="center"/>
          </w:tcPr>
          <w:p>
            <w:pPr>
              <w:spacing w:line="360" w:lineRule="exact"/>
              <w:ind w:firstLine="560"/>
              <w:rPr>
                <w:rFonts w:hint="eastAsia" w:ascii="Times New Roman" w:hAnsi="Times New Roman" w:eastAsia="仿宋_GB2312" w:cs="仿宋_GB2312"/>
                <w:sz w:val="28"/>
                <w:szCs w:val="28"/>
                <w:lang w:val="zh-TW"/>
              </w:rPr>
            </w:pPr>
            <w:r>
              <w:rPr>
                <w:rFonts w:hint="eastAsia" w:ascii="Times New Roman" w:hAnsi="Times New Roman" w:eastAsia="仿宋_GB2312" w:cs="仿宋_GB2312"/>
                <w:sz w:val="28"/>
                <w:szCs w:val="28"/>
                <w:lang w:val="zh-TW"/>
              </w:rPr>
              <w:t>1312</w:t>
            </w:r>
          </w:p>
        </w:tc>
      </w:tr>
      <w:tr>
        <w:tblPrEx>
          <w:tblCellMar>
            <w:top w:w="0" w:type="dxa"/>
            <w:left w:w="108" w:type="dxa"/>
            <w:bottom w:w="0" w:type="dxa"/>
            <w:right w:w="108" w:type="dxa"/>
          </w:tblCellMar>
        </w:tblPrEx>
        <w:trPr>
          <w:trHeight w:val="527" w:hRule="atLeast"/>
          <w:jc w:val="center"/>
        </w:trPr>
        <w:tc>
          <w:tcPr>
            <w:tcW w:w="1249" w:type="pct"/>
            <w:tcBorders>
              <w:top w:val="nil"/>
              <w:left w:val="single" w:color="000000" w:sz="8" w:space="0"/>
              <w:bottom w:val="single" w:color="000000" w:sz="8" w:space="0"/>
              <w:right w:val="single" w:color="000000" w:sz="8" w:space="0"/>
            </w:tcBorders>
            <w:vAlign w:val="center"/>
          </w:tcPr>
          <w:p>
            <w:pPr>
              <w:spacing w:line="360" w:lineRule="exact"/>
              <w:ind w:firstLine="840"/>
              <w:rPr>
                <w:rFonts w:hint="eastAsia" w:ascii="Times New Roman" w:hAnsi="Times New Roman" w:eastAsia="仿宋_GB2312" w:cs="仿宋_GB2312"/>
                <w:sz w:val="28"/>
                <w:szCs w:val="28"/>
                <w:lang w:val="zh-TW"/>
              </w:rPr>
            </w:pPr>
            <w:r>
              <w:rPr>
                <w:rFonts w:hint="eastAsia" w:ascii="Times New Roman" w:hAnsi="Times New Roman" w:eastAsia="仿宋_GB2312" w:cs="仿宋_GB2312"/>
                <w:sz w:val="28"/>
                <w:szCs w:val="28"/>
                <w:lang w:val="zh-TW"/>
              </w:rPr>
              <w:t>合计</w:t>
            </w:r>
          </w:p>
        </w:tc>
        <w:tc>
          <w:tcPr>
            <w:tcW w:w="1249" w:type="pct"/>
            <w:tcBorders>
              <w:top w:val="nil"/>
              <w:left w:val="single" w:color="000000" w:sz="8" w:space="0"/>
              <w:bottom w:val="single" w:color="000000" w:sz="8" w:space="0"/>
              <w:right w:val="single" w:color="000000" w:sz="8" w:space="0"/>
            </w:tcBorders>
            <w:vAlign w:val="center"/>
          </w:tcPr>
          <w:p>
            <w:pPr>
              <w:spacing w:line="360" w:lineRule="exact"/>
              <w:jc w:val="center"/>
              <w:rPr>
                <w:rFonts w:hint="eastAsia" w:ascii="Times New Roman" w:hAnsi="Times New Roman" w:eastAsia="仿宋_GB2312" w:cs="仿宋_GB2312"/>
                <w:sz w:val="28"/>
                <w:szCs w:val="28"/>
                <w:lang w:val="zh-TW"/>
              </w:rPr>
            </w:pPr>
            <w:r>
              <w:rPr>
                <w:rFonts w:hint="eastAsia" w:ascii="Times New Roman" w:hAnsi="Times New Roman" w:eastAsia="仿宋_GB2312" w:cs="仿宋_GB2312"/>
                <w:sz w:val="28"/>
                <w:szCs w:val="28"/>
                <w:lang w:val="zh-TW"/>
              </w:rPr>
              <w:t>206111</w:t>
            </w:r>
          </w:p>
        </w:tc>
        <w:tc>
          <w:tcPr>
            <w:tcW w:w="1249" w:type="pct"/>
            <w:tcBorders>
              <w:top w:val="nil"/>
              <w:left w:val="single" w:color="000000" w:sz="8" w:space="0"/>
              <w:bottom w:val="single" w:color="000000" w:sz="8" w:space="0"/>
              <w:right w:val="single" w:color="000000" w:sz="8" w:space="0"/>
            </w:tcBorders>
            <w:vAlign w:val="center"/>
          </w:tcPr>
          <w:p>
            <w:pPr>
              <w:spacing w:line="360" w:lineRule="exact"/>
              <w:ind w:firstLine="560" w:firstLineChars="200"/>
              <w:rPr>
                <w:rFonts w:hint="eastAsia" w:ascii="Times New Roman" w:hAnsi="Times New Roman" w:eastAsia="仿宋_GB2312" w:cs="仿宋_GB2312"/>
                <w:sz w:val="28"/>
                <w:szCs w:val="28"/>
                <w:lang w:val="zh-TW"/>
              </w:rPr>
            </w:pPr>
            <w:r>
              <w:rPr>
                <w:rFonts w:hint="eastAsia" w:ascii="Times New Roman" w:hAnsi="Times New Roman" w:eastAsia="仿宋_GB2312" w:cs="仿宋_GB2312"/>
                <w:sz w:val="28"/>
                <w:szCs w:val="28"/>
                <w:lang w:val="zh-TW"/>
              </w:rPr>
              <w:t>167178</w:t>
            </w:r>
          </w:p>
        </w:tc>
        <w:tc>
          <w:tcPr>
            <w:tcW w:w="1251" w:type="pct"/>
            <w:tcBorders>
              <w:top w:val="nil"/>
              <w:left w:val="single" w:color="000000" w:sz="8" w:space="0"/>
              <w:bottom w:val="single" w:color="000000" w:sz="8" w:space="0"/>
              <w:right w:val="single" w:color="000000" w:sz="8" w:space="0"/>
            </w:tcBorders>
            <w:noWrap/>
            <w:vAlign w:val="center"/>
          </w:tcPr>
          <w:p>
            <w:pPr>
              <w:spacing w:line="360" w:lineRule="exact"/>
              <w:ind w:firstLine="560" w:firstLineChars="200"/>
              <w:rPr>
                <w:rFonts w:hint="eastAsia" w:ascii="Times New Roman" w:hAnsi="Times New Roman" w:eastAsia="仿宋_GB2312" w:cs="仿宋_GB2312"/>
                <w:sz w:val="28"/>
                <w:szCs w:val="28"/>
                <w:lang w:val="zh-TW"/>
              </w:rPr>
            </w:pPr>
            <w:r>
              <w:rPr>
                <w:rFonts w:hint="eastAsia" w:ascii="Times New Roman" w:hAnsi="Times New Roman" w:eastAsia="仿宋_GB2312" w:cs="仿宋_GB2312"/>
                <w:sz w:val="28"/>
                <w:szCs w:val="28"/>
                <w:lang w:val="zh-TW"/>
              </w:rPr>
              <w:t>38933</w:t>
            </w:r>
          </w:p>
        </w:tc>
      </w:tr>
    </w:tbl>
    <w:p>
      <w:pPr>
        <w:spacing w:line="560" w:lineRule="exact"/>
        <w:ind w:firstLine="640" w:firstLineChars="200"/>
        <w:rPr>
          <w:rFonts w:hint="eastAsia" w:ascii="Times New Roman" w:hAnsi="Times New Roman" w:eastAsia="楷体_GB2312"/>
          <w:sz w:val="32"/>
          <w:szCs w:val="32"/>
        </w:rPr>
      </w:pPr>
    </w:p>
    <w:p>
      <w:pPr>
        <w:spacing w:line="560" w:lineRule="exact"/>
        <w:ind w:firstLine="640" w:firstLineChars="200"/>
        <w:rPr>
          <w:rFonts w:hint="eastAsia" w:ascii="Times New Roman" w:hAnsi="Times New Roman" w:eastAsia="楷体_GB2312"/>
          <w:sz w:val="32"/>
          <w:szCs w:val="32"/>
        </w:rPr>
      </w:pPr>
      <w:r>
        <w:rPr>
          <w:rFonts w:hint="eastAsia" w:ascii="Times New Roman" w:hAnsi="Times New Roman" w:eastAsia="楷体_GB2312"/>
          <w:sz w:val="32"/>
          <w:szCs w:val="32"/>
        </w:rPr>
        <w:t>（四）存在问题与建议</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1. 存在问题</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（1）全市水资源时空分布不均，资源性缺水、工程性缺水仍然存在。</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全市水资源空间上、时间上分布极其不均，使得全市范围内普遍存在缺水。“十三五”期间，虽然陆续启动了“引绰济辽”、LXB等引调水工程，但是前期工作持续时间长，短时间内河道水资源开发利用作用还发挥不了，工程性缺水问题依然存在，并且较长时期存在。目前水资源开发利用程度偏高，大部地区已接近极限。缺水问题成为了限制经济社会可持续发展的主要因素。</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（2）我市水资源配置格局还不合理，产业布局与水资源条件不相协调，经济社会发展的水资源承载能力刚性约束需进一步加强。</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农业用水在我市水资源配置中占比例较高。受资金投入、政策支持等因素的限制，农业现代化建设有所滞后，高效节水灌溉发展力度不足，与我市干旱缺水、迫切需要节水的要求还有较大差距。部分灌区仍然存在大水漫灌、渠道渗漏损失严重等问题，严格水资源承载能力刚性约束，以水定地，以水定产，以水定结构，建立完善用水总量控制指标和配额制度，减少配水面积，同时提高用水效率，仍有很大的节水潜力。</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我市工业用水仍以地下水为主，尽管工业用水重复利用率有了较大的提高，用水定额呈降低趋势，并且积极推进中水等水源替换地下水源，但我市工业用水效率基础薄弱，工业设备的更新、先进技术的应用仍明显落后于全国发达地区，加之工程性缺水问题并存，导致工业需水仍有较大的缺口，水资源的短缺将明显制约工业的发展。</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（3）水利信息化数据化建设仍需加强，加大水行政执法监管力度，依法治水管水能力亟待提高。</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水利信息化建设虽然取得一些成绩，但与水利发展改革、智慧水利、智慧社会和数字中国建设的要求相比，尚存在着很大差距。受项目投资来源不足、运行维护分散等因素制约，目前我市信息化建设层次有待提高，进而发挥信息化前期建设整体优势和规模效益，提升支撑现代水治理和水管理能力。</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2. 建议</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（1）不断坚持和深化水利改革发展总基调</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通过“十三五”规划的实施，充分证明水利改革发展总基调是正确的，是经得起各方面检验的。“十四五”时期，是水利建设新一轮高潮期、水利行业监管持续攻坚期、水利发展方式深刻转型期。下一步要全面贯彻落实党中央、国务院、自治区重大决策部署，坚定不移地推动水利改革发展总基调落地生根。</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（2）补齐水利基础设施体系短板，推动经济高质量发展</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水利工程补短板，是解决水灾害和水资源水生态水环境问题、保障水安全的重要途径。加快建设防洪、节水、供水、调水重大水利工程，不断完善防洪减灾、供水保障、水资源配置方面存在的薄弱环节。建立长效监管机制，严格管理保护地下水资源。强化水资源监管，加快水资源监控能力建设，加强水资源管理信息系统应用与维护，完善水资源监测监控体系，为“水利行业强监管”提供基础支撑。</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（3）补齐重点领域制度短板，推动水利改革发展</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聚焦水旱灾害防御、水资源管理、河湖管理保护、水生态水环境治理、水利工程建设和运行管理等方面，补齐制度短板。坚持量水而行，深入落实最严格水资源管理制度，监督落实地区用水总量控制指标细化分解工作，全面推进水生态环境保护和修复，加强水生态空间管控，落实河湖管护责任。做好水域岸线保护利用，在河湖管理范围划界工作的基础上，科学划定岸线保护区、保留区、控制利用区和开发利用区。全面构建水利现代化体制机制，建立水利工程良性运行管理机制。进一步完善水政监管体系，提升河湖、水资源、水工程监管能力。加强水利人才队伍建设。加强水利管理人员能力培训，加强对新科技、新产品、新材料推广使用指导，让水利管理人员对新时代的水利设备及系统灵活运用。加大水利创新能力建设，提升水利信息化现代化水平。</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伴随着经济高速增长和城镇化快速发展，水资源短缺、水生态损害、水环境污染等新问题越来越突出，成为经济社会持续健康发展的严重制约因素，也对新阶段全市水务改革发展提出了新的要求。水资源严重短缺、极端气候频现要求水利行业进一步优化水资源配置、提升防御水旱灾害的能力；水生态损害、生物多样性破坏要求水利行业聚焦水生态修复、减小人类活动对生态的影响；水环境污染以及地下水水位下降、河湖萎缩等水环境问题要求水利行业着力水环境保护、强化监管、统筹推进山水林田湖草沙的系统治理，从而满足人民群众对美好的水资源水生态水环境的需求。</w:t>
      </w:r>
    </w:p>
    <w:p>
      <w:pPr>
        <w:spacing w:line="560" w:lineRule="exact"/>
        <w:ind w:firstLine="640" w:firstLineChars="200"/>
        <w:rPr>
          <w:rFonts w:hint="eastAsia" w:ascii="Times New Roman" w:hAnsi="Times New Roman" w:eastAsia="黑体"/>
          <w:sz w:val="32"/>
          <w:szCs w:val="32"/>
        </w:rPr>
      </w:pPr>
      <w:r>
        <w:rPr>
          <w:rFonts w:hint="eastAsia" w:ascii="Times New Roman" w:hAnsi="Times New Roman" w:eastAsia="黑体"/>
          <w:sz w:val="32"/>
          <w:szCs w:val="32"/>
        </w:rPr>
        <w:t>二、总体思路</w:t>
      </w:r>
    </w:p>
    <w:p>
      <w:pPr>
        <w:spacing w:line="560" w:lineRule="exact"/>
        <w:ind w:firstLine="640" w:firstLineChars="200"/>
        <w:rPr>
          <w:rFonts w:hint="eastAsia" w:ascii="Times New Roman" w:hAnsi="Times New Roman" w:eastAsia="楷体_GB2312"/>
          <w:sz w:val="32"/>
          <w:szCs w:val="32"/>
        </w:rPr>
      </w:pPr>
      <w:r>
        <w:rPr>
          <w:rFonts w:hint="eastAsia" w:ascii="Times New Roman" w:hAnsi="Times New Roman" w:eastAsia="楷体_GB2312"/>
          <w:sz w:val="32"/>
          <w:szCs w:val="32"/>
        </w:rPr>
        <w:t>（一）指导思想</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坚持以习近平新时代中国特色社会主义思想为指导，全面贯彻党的十九大和十九届历次全会精神，深刻认识新发展阶段，坚定不移贯彻创新、协调、绿色、开放、共享的新发展理念，服务构建国内、国际双循环新发展格局。坚持习近平总书记提出的“节水优先、空间均衡、系统治理、两手发力”治水方针，严格按照自治区走以生态优先绿色发展为导向的高质量发展新路子的决定，落实市委六届一次、二次全会会议精神，抓住新时代治水矛盾重点，高举生态文明大旗，进一步转变治水思路和方式，深化水务一体化改革，依法治水，依法管水，依法用水，加快补齐水利工程短板，不断强化水利行业监管弱项，加快推进水利现代化进程，把水安全风险防控作为底线，把水资源承载力作为刚性约束上限，把水生态保护作为控制红线，以“补短板”“强监管”“激活力”为工作路径，以“供水安全保障”“防洪安全保障”“水生态安全保障”和“水利信息化及基础科学研究”为落脚点，形成我市“十四五”水安全保障的总体思路，制定目标指标，补短板，提措施，配项目，构建水安全保障体系，着力解决防洪、供水、生态环境等事关通辽市人民生命财产安全和用水保障的热点问题，为“建设我国北方重要的生态安全屏障”“在祖国北疆构筑起万里绿色长城”、为实现品质通辽提供水利支撑，为促进社会经济发展，贡献水利智慧，承担起中华文明源头称号所肩负的责任。</w:t>
      </w:r>
    </w:p>
    <w:p>
      <w:pPr>
        <w:spacing w:line="540" w:lineRule="exact"/>
        <w:ind w:firstLine="640" w:firstLineChars="200"/>
        <w:rPr>
          <w:rFonts w:hint="eastAsia" w:ascii="Times New Roman" w:hAnsi="Times New Roman" w:eastAsia="楷体_GB2312"/>
          <w:sz w:val="32"/>
          <w:szCs w:val="32"/>
        </w:rPr>
      </w:pPr>
      <w:r>
        <w:rPr>
          <w:rFonts w:hint="eastAsia" w:ascii="Times New Roman" w:hAnsi="Times New Roman" w:eastAsia="楷体_GB2312"/>
          <w:sz w:val="32"/>
          <w:szCs w:val="32"/>
        </w:rPr>
        <w:t>（二）发展思路及目标</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深入分析把握水安全现状，准确研判水安全发展态势，构建现代化水安全保障体系。</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一是将水安全放在全局中统筹谋划。从全面建成小康社会、实现全市人民永续发展的战略高度看，水已经成为我市严重短缺的产品，成了制约环境质量的主要因素，成了经济社会发展面临的严重安全问题，要重视解决好水安全问题。从时间维度看，到2025年，防洪抗旱减灾能力全面提升，水资源利用效率和效益明显提高，供水安全达到新高度，重点河湖水生态环境稳定向好，水利工程补短板和提档升级加快补齐，涉水事务监管能力全面增强，水安全保障能力显著提升。从水安全战略总的考虑，远景目标是将全市建成洪旱无虞、饮水放心、用水便捷、亲水宜居的水环境。</w:t>
      </w:r>
      <w:r>
        <w:rPr>
          <w:rFonts w:hint="eastAsia" w:ascii="Times New Roman" w:hAnsi="Times New Roman" w:eastAsia="仿宋_GB2312"/>
          <w:sz w:val="32"/>
          <w:szCs w:val="32"/>
        </w:rPr>
        <w:cr/>
      </w:r>
      <w:r>
        <w:rPr>
          <w:rFonts w:hint="eastAsia" w:ascii="Times New Roman" w:hAnsi="Times New Roman" w:eastAsia="仿宋_GB2312"/>
          <w:sz w:val="32"/>
          <w:szCs w:val="32"/>
        </w:rPr>
        <w:t>二是坚持底线思维，着眼于防范水安全领域可能出现的重大风险，做好风险评估，提升水安全风险综合应对和管控能力，筑牢水安全网。确保防洪、供水、生态安全。</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三是从水资源短缺、水生态损害、水环境污染和水灾害新老水问题的客观现实出发，抓住关键、找准重点，厘清“四水”共治的策略。统筹“四水”共治，坚持节水优先，坚持高质量发展方向，科学治水、精准治水、生态治水、智慧治水、协同治水。研究出保障全市水安全的重大项目政策举措，通过转换发展动能，推动水安全保障项目的实施；激发发展活力，探索水安全保障重大政策；增强内生动力，创新水安全保障重大举措。</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综合考虑水安全面临形势问题，坚持目标和问题导向相结合，“十四五”期间，建设与经济社会和生态文明建设要求相适应、与国家现代化进程相协调的水资源节约集约利用与优化配置、水旱灾害防御、水生态环境保护和河湖健康保障、涉水事务监管四大体系。</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1. 防洪抗旱减灾全面提升</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新时代防汛抗旱减灾理念不断变化，为防治水旱灾害，要做到与时俱进，做好风险管理，加强防汛抗旱能力建设，在努力提高江河防洪标准，完善水旱灾害预警机制，建立健全的安全保障体系，提高防汛抗旱社会化水平、科学化水平，为指挥抢险救灾提供有力保障。“十四五”期间，一是完成开鲁新开河等河道治理工程，使流域面积3000平方公里以上主要支流堤防达标率72%。二是推进霍林郭勒市浑迪音河、扎旗鲁北河、巴彦塔拉河、乌努格其河治理工程等4项中小河流治理工程前期工作。三是完成8座水库除险加固。四是完成台河口、总办2座大型枢纽除险加固，完成苏家堡、乌力吉木仁2座大型枢纽以及1座他拉干中型枢纽安全鉴定。五是开展山洪沟治理。十四五期间完成5条重点山洪沟治理。多手段，齐配合，建立和完善应对突发事件的应急机制，增强应急处置能力。</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2. 水资源利用效率和效益明显提高</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全面落实最严格水资源管理制度，强化用水总量控制、用水效率控制、水功能区限制纳污“三条红线”的先导作用和刚性约束。2025年全市用水总量控制在26.81亿立方米，2025年农田灌溉水有效利用系数提高到0.69，万元工业增加值用水量比2020年下降13.5%，万元GDP用水量比2020年下降20 %。根据全国水资源调查评价成果，全市多年平均地表水资源量6.57亿立方米，地下水资源量25.68亿立方米，地下水可开采量22.64亿立方米。2020年全市地下水开采量为26.18亿立方米，水资源开发利用已严重超载。结合通辽市现状及可供水量，贯彻优先配置利用中水等非常规水源、合理开发利用地表水、严格控制地下水、推进外调水的水资源配置思路，统筹协调生活、生产和生态用水。十四五期间，为落实中央领导对内蒙古西辽河流域“量水而行”重要批示精神，明确总体思路和治理目标，将“管”“节”“控”“调”“保”相结合对西辽河流域进行综合治理，提出对应保障方案。</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3. 供水安全保障程度进一步提升</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为了水资源能够更好地支撑经济，加快嘎海山水库、乌兰哈达水库水源工程进度；加快完成“引绰济辽”二期工程及“LXB供水内蒙古支线”工程，工程建成后可实现外流域调水3.95亿立方米，缓减水资源短缺问题；加快“引嫩济锡”前期工作。规划新建和改造规模化农村牧区供水工程，巩固提升25.6642万人农村牧区饮水安全，通过改造、配套、联网等措施，进一步提高农村牧区供水保证率和工程运行管理水平。</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4. 水生态治理与保护得到全面提高</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通过山水林田湖草沙生态保护修复工程，统筹山水林田湖草沙系统治理，加快水网建设，保护与恢复河流湿地。以河湖长制为抓手，以“清四乱”为工作重点，持续改善我市河湖水生态环境，建设生态和谐的幸福河湖，2025年，重要河湖水域岸线监管率达到60%。加快推进内蒙古西辽河流域“量水而行”以水定需治理项目，提升西辽河流域生态治理与修复，改善生态环境，更加牢固生态安全屏障，提升生态系统质量和稳定性。新增水土流失综合治理面积249.39平方公里，到2025年，水土保持率达到45%。建立课题“高效节水灌溉对农田水循环体系及生态环境影响研究”，主要研究农业节水灌溉、农田生态效益以及控制灌溉用水与水资源的日益短缺以及水体富营养化的相互关联。</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2021年，自治区已制定更加严格的水资源开发利用控制红线，从制度层面严格限制各地用水总量。面对当前通辽地区发展与缺水间的突出矛盾，加快转变农牧业发展方式，科学制定“量水而行、以水定地”工作规划，大力推进水资源综合治理刻不容缓，迫在眉睫。</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十四五”期间，着力解决西辽河流域科尔沁区及科左中旗地下水水位有小幅波动区域，严格控制机电井数量，确保总数只减不增，强化机电井取水许可证管理，到2025年对具备条件的农业灌溉机电井逐步颁发取水许可证，严格地下水禁、限采区管理。对地下水禁采区，限期封填全部取水井；对地下水限采区，一律不予批准新增地下水开采。严控工业项目使用地下水。“十四五”期末，科尔沁区超采区实现采补平衡，其他地区地下水用量控制，不再出现新的超采区。</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5. 水利改革管理工作取得新成效</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健全监管制度体系，推动实现“制度治水、制度管水”。 持续推进河湖长制工作，确保河长湖长履职尽责落地见效。促进水保监管落地生效，真正做到基础扎实，监管有力。扎实工程运行管理，开创水利工程运行管理新局面。强化安全质量监管，全面推进“安全监管+信息化”水利安全监管信息系统建设，全面提升水利工程质量和安全管理水平，增强水利工程安全性、可靠性、耐久性。从整体上提高监督效果，确保水利行业监管得到有效加强。</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一是深化“放管服”改革。梳理权责清单，强化简政放权，推进“三单”融合，以统一清单形式列明权责事项。深入推进“双随机一公开”监督检查，优化行政审批时间，持续完成在线政务服务平台建设和“互联网+监管”阶段性目标。 二是水利标准化改革。不断优化完善推荐性水利技术标准体系，推进水利行业“强监管”标准制修订，全面简化标准编制程序，以发挥强制性标准的刚性约束作用。三是落实价税改革政策。不断推进“以电折水”计量系数率定改革，为下一步农业水价综合改革工作提供技术参考。四是推进管护治理改革。坚持建管并重，建立“两证一书”制度，促进水利行业高质量发展。五是水利投融资机制改革。加大各级公共财政的投入力度，积极拓宽水利建设资金渠道，充分利用水利金融政策，激发社会资本参与水利建设管理的热情。六是提升水利创新引领能力。发挥科技支撑的引领作用，坚持把科技为民作为根本宗旨，科技创新作为动力，人才驱动作为本质要求，进一步适应社会发展的需求和国家机构改革对水利科技发展的新要求。（具体指标如下表2-1）</w:t>
      </w:r>
    </w:p>
    <w:p>
      <w:pPr>
        <w:spacing w:line="560" w:lineRule="exact"/>
        <w:ind w:firstLine="640" w:firstLineChars="200"/>
        <w:rPr>
          <w:rFonts w:hint="eastAsia" w:ascii="Times New Roman" w:hAnsi="Times New Roman" w:eastAsia="仿宋_GB2312"/>
          <w:sz w:val="32"/>
          <w:szCs w:val="32"/>
        </w:rPr>
      </w:pPr>
    </w:p>
    <w:p>
      <w:pPr>
        <w:spacing w:line="540" w:lineRule="exact"/>
        <w:jc w:val="center"/>
        <w:rPr>
          <w:rFonts w:hint="eastAsia" w:ascii="Times New Roman" w:hAnsi="Times New Roman" w:eastAsia="黑体" w:cs="仿宋_GB2312"/>
          <w:sz w:val="32"/>
          <w:szCs w:val="32"/>
          <w:lang w:val="zh-TW"/>
        </w:rPr>
      </w:pPr>
      <w:r>
        <w:rPr>
          <w:rFonts w:hint="eastAsia" w:ascii="Times New Roman" w:hAnsi="Times New Roman" w:eastAsia="黑体" w:cs="仿宋_GB2312"/>
          <w:sz w:val="32"/>
          <w:szCs w:val="32"/>
          <w:lang w:val="zh-TW"/>
        </w:rPr>
        <w:t>表</w:t>
      </w:r>
      <w:r>
        <w:rPr>
          <w:rFonts w:hint="eastAsia" w:ascii="Times New Roman" w:hAnsi="Times New Roman" w:eastAsia="黑体" w:cs="仿宋_GB2312"/>
          <w:sz w:val="32"/>
          <w:szCs w:val="32"/>
        </w:rPr>
        <w:t>2</w:t>
      </w:r>
      <w:r>
        <w:rPr>
          <w:rFonts w:hint="eastAsia" w:ascii="Times New Roman" w:hAnsi="Times New Roman" w:eastAsia="黑体" w:cs="仿宋_GB2312"/>
          <w:sz w:val="32"/>
          <w:szCs w:val="32"/>
          <w:lang w:val="zh-TW"/>
        </w:rPr>
        <w:t>-1  “十四五”水安全保障指标统计表</w:t>
      </w:r>
    </w:p>
    <w:tbl>
      <w:tblPr>
        <w:tblStyle w:val="8"/>
        <w:tblW w:w="5558" w:type="pct"/>
        <w:tblInd w:w="-526"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0" w:type="dxa"/>
          <w:bottom w:w="0" w:type="dxa"/>
          <w:right w:w="0" w:type="dxa"/>
        </w:tblCellMar>
      </w:tblPr>
      <w:tblGrid>
        <w:gridCol w:w="1253"/>
        <w:gridCol w:w="3380"/>
        <w:gridCol w:w="1373"/>
        <w:gridCol w:w="1467"/>
        <w:gridCol w:w="1056"/>
        <w:gridCol w:w="139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0" w:hRule="atLeast"/>
        </w:trPr>
        <w:tc>
          <w:tcPr>
            <w:tcW w:w="643" w:type="pct"/>
            <w:tcMar>
              <w:top w:w="12" w:type="dxa"/>
              <w:left w:w="41" w:type="dxa"/>
              <w:bottom w:w="0" w:type="dxa"/>
              <w:right w:w="41" w:type="dxa"/>
            </w:tcMar>
            <w:vAlign w:val="center"/>
          </w:tcPr>
          <w:p>
            <w:pPr>
              <w:widowControl/>
              <w:spacing w:line="420" w:lineRule="exact"/>
              <w:jc w:val="center"/>
              <w:rPr>
                <w:rFonts w:hint="eastAsia" w:ascii="黑体" w:hAnsi="黑体" w:eastAsia="黑体" w:cs="仿宋_GB2312"/>
                <w:kern w:val="0"/>
                <w:sz w:val="28"/>
                <w:szCs w:val="28"/>
              </w:rPr>
            </w:pPr>
            <w:r>
              <w:rPr>
                <w:rFonts w:hint="eastAsia" w:ascii="Times New Roman" w:hAnsi="Times New Roman" w:eastAsia="黑体" w:cs="仿宋_GB2312"/>
                <w:color w:val="000000"/>
                <w:kern w:val="0"/>
                <w:sz w:val="28"/>
                <w:szCs w:val="28"/>
              </w:rPr>
              <w:t>项目</w:t>
            </w:r>
            <w:r>
              <w:rPr>
                <w:rFonts w:hint="eastAsia" w:ascii="Times New Roman" w:hAnsi="Times New Roman" w:eastAsia="黑体" w:cs="仿宋_GB2312"/>
                <w:color w:val="000000"/>
                <w:sz w:val="28"/>
                <w:szCs w:val="28"/>
              </w:rPr>
              <w:t xml:space="preserve"> </w:t>
            </w:r>
          </w:p>
        </w:tc>
        <w:tc>
          <w:tcPr>
            <w:tcW w:w="1714" w:type="pct"/>
            <w:tcMar>
              <w:top w:w="12" w:type="dxa"/>
              <w:left w:w="41" w:type="dxa"/>
              <w:bottom w:w="0" w:type="dxa"/>
              <w:right w:w="41" w:type="dxa"/>
            </w:tcMar>
            <w:vAlign w:val="center"/>
          </w:tcPr>
          <w:p>
            <w:pPr>
              <w:widowControl/>
              <w:spacing w:line="420" w:lineRule="exact"/>
              <w:jc w:val="center"/>
              <w:rPr>
                <w:rFonts w:hint="eastAsia" w:ascii="黑体" w:hAnsi="黑体" w:eastAsia="黑体" w:cs="仿宋_GB2312"/>
                <w:kern w:val="0"/>
                <w:sz w:val="28"/>
                <w:szCs w:val="28"/>
              </w:rPr>
            </w:pPr>
            <w:r>
              <w:rPr>
                <w:rFonts w:hint="eastAsia" w:ascii="Times New Roman" w:hAnsi="Times New Roman" w:eastAsia="黑体" w:cs="仿宋_GB2312"/>
                <w:color w:val="000000"/>
                <w:kern w:val="0"/>
                <w:sz w:val="28"/>
                <w:szCs w:val="28"/>
              </w:rPr>
              <w:t>指  标</w:t>
            </w:r>
            <w:r>
              <w:rPr>
                <w:rFonts w:hint="eastAsia" w:ascii="Times New Roman" w:hAnsi="Times New Roman" w:eastAsia="黑体" w:cs="仿宋_GB2312"/>
                <w:color w:val="000000"/>
                <w:sz w:val="28"/>
                <w:szCs w:val="28"/>
              </w:rPr>
              <w:t xml:space="preserve"> </w:t>
            </w:r>
          </w:p>
        </w:tc>
        <w:tc>
          <w:tcPr>
            <w:tcW w:w="703" w:type="pct"/>
            <w:tcMar>
              <w:top w:w="12" w:type="dxa"/>
              <w:left w:w="41" w:type="dxa"/>
              <w:bottom w:w="0" w:type="dxa"/>
              <w:right w:w="41" w:type="dxa"/>
            </w:tcMar>
            <w:vAlign w:val="center"/>
          </w:tcPr>
          <w:p>
            <w:pPr>
              <w:widowControl/>
              <w:spacing w:line="420" w:lineRule="exact"/>
              <w:jc w:val="center"/>
              <w:rPr>
                <w:rFonts w:hint="eastAsia" w:ascii="Times New Roman" w:hAnsi="Times New Roman" w:eastAsia="黑体" w:cs="仿宋_GB2312"/>
                <w:kern w:val="0"/>
                <w:sz w:val="28"/>
                <w:szCs w:val="28"/>
              </w:rPr>
            </w:pPr>
            <w:r>
              <w:rPr>
                <w:rFonts w:hint="eastAsia" w:ascii="Times New Roman" w:hAnsi="Times New Roman" w:eastAsia="黑体" w:cs="仿宋_GB2312"/>
                <w:color w:val="000000"/>
                <w:kern w:val="0"/>
                <w:sz w:val="28"/>
                <w:szCs w:val="28"/>
              </w:rPr>
              <w:t>“十三五”</w:t>
            </w:r>
            <w:r>
              <w:rPr>
                <w:rFonts w:hint="eastAsia" w:ascii="Times New Roman" w:hAnsi="Times New Roman" w:eastAsia="黑体" w:cs="仿宋_GB2312"/>
                <w:color w:val="000000"/>
                <w:sz w:val="28"/>
                <w:szCs w:val="28"/>
              </w:rPr>
              <w:t xml:space="preserve"> </w:t>
            </w:r>
          </w:p>
          <w:p>
            <w:pPr>
              <w:widowControl/>
              <w:spacing w:line="420" w:lineRule="exact"/>
              <w:jc w:val="center"/>
              <w:rPr>
                <w:rFonts w:hint="eastAsia" w:ascii="黑体" w:hAnsi="黑体" w:eastAsia="黑体" w:cs="仿宋_GB2312"/>
                <w:kern w:val="0"/>
                <w:sz w:val="28"/>
                <w:szCs w:val="28"/>
              </w:rPr>
            </w:pPr>
            <w:r>
              <w:rPr>
                <w:rFonts w:hint="eastAsia" w:ascii="Times New Roman" w:hAnsi="Times New Roman" w:eastAsia="黑体" w:cs="仿宋_GB2312"/>
                <w:color w:val="000000"/>
                <w:kern w:val="0"/>
                <w:sz w:val="28"/>
                <w:szCs w:val="28"/>
              </w:rPr>
              <w:t>规划指标</w:t>
            </w:r>
            <w:r>
              <w:rPr>
                <w:rFonts w:hint="eastAsia" w:ascii="Times New Roman" w:hAnsi="Times New Roman" w:eastAsia="黑体" w:cs="仿宋_GB2312"/>
                <w:color w:val="000000"/>
                <w:sz w:val="28"/>
                <w:szCs w:val="28"/>
              </w:rPr>
              <w:t xml:space="preserve"> </w:t>
            </w:r>
          </w:p>
        </w:tc>
        <w:tc>
          <w:tcPr>
            <w:tcW w:w="750" w:type="pct"/>
            <w:tcMar>
              <w:top w:w="12" w:type="dxa"/>
              <w:left w:w="41" w:type="dxa"/>
              <w:bottom w:w="0" w:type="dxa"/>
              <w:right w:w="41" w:type="dxa"/>
            </w:tcMar>
            <w:vAlign w:val="center"/>
          </w:tcPr>
          <w:p>
            <w:pPr>
              <w:widowControl/>
              <w:spacing w:line="420" w:lineRule="exact"/>
              <w:jc w:val="center"/>
              <w:rPr>
                <w:rFonts w:hint="eastAsia" w:ascii="黑体" w:hAnsi="黑体" w:eastAsia="黑体" w:cs="仿宋_GB2312"/>
                <w:kern w:val="0"/>
                <w:sz w:val="28"/>
                <w:szCs w:val="28"/>
              </w:rPr>
            </w:pPr>
            <w:r>
              <w:rPr>
                <w:rFonts w:hint="eastAsia" w:ascii="Times New Roman" w:hAnsi="Times New Roman" w:eastAsia="黑体" w:cs="仿宋_GB2312"/>
                <w:color w:val="000000"/>
                <w:kern w:val="0"/>
                <w:sz w:val="28"/>
                <w:szCs w:val="28"/>
              </w:rPr>
              <w:t>“十三五”完成情况</w:t>
            </w:r>
            <w:r>
              <w:rPr>
                <w:rFonts w:hint="eastAsia" w:ascii="Times New Roman" w:hAnsi="Times New Roman" w:eastAsia="黑体" w:cs="仿宋_GB2312"/>
                <w:color w:val="000000"/>
                <w:sz w:val="28"/>
                <w:szCs w:val="28"/>
              </w:rPr>
              <w:t xml:space="preserve">  </w:t>
            </w:r>
          </w:p>
        </w:tc>
        <w:tc>
          <w:tcPr>
            <w:tcW w:w="476" w:type="pct"/>
            <w:tcMar>
              <w:top w:w="12" w:type="dxa"/>
              <w:left w:w="41" w:type="dxa"/>
              <w:bottom w:w="0" w:type="dxa"/>
              <w:right w:w="41" w:type="dxa"/>
            </w:tcMar>
            <w:vAlign w:val="center"/>
          </w:tcPr>
          <w:p>
            <w:pPr>
              <w:widowControl/>
              <w:spacing w:line="420" w:lineRule="exact"/>
              <w:jc w:val="center"/>
              <w:rPr>
                <w:rFonts w:hint="eastAsia" w:ascii="黑体" w:hAnsi="黑体" w:eastAsia="黑体" w:cs="仿宋_GB2312"/>
                <w:kern w:val="0"/>
                <w:sz w:val="28"/>
                <w:szCs w:val="28"/>
              </w:rPr>
            </w:pPr>
            <w:r>
              <w:rPr>
                <w:rFonts w:hint="eastAsia" w:ascii="Times New Roman" w:hAnsi="Times New Roman" w:eastAsia="黑体" w:cs="仿宋_GB2312"/>
                <w:color w:val="000000"/>
                <w:kern w:val="0"/>
                <w:sz w:val="28"/>
                <w:szCs w:val="28"/>
              </w:rPr>
              <w:t>“十四五”测算</w:t>
            </w:r>
            <w:r>
              <w:rPr>
                <w:rFonts w:hint="eastAsia" w:ascii="Times New Roman" w:hAnsi="Times New Roman" w:eastAsia="黑体" w:cs="仿宋_GB2312"/>
                <w:color w:val="000000"/>
                <w:sz w:val="28"/>
                <w:szCs w:val="28"/>
              </w:rPr>
              <w:t xml:space="preserve"> </w:t>
            </w:r>
          </w:p>
        </w:tc>
        <w:tc>
          <w:tcPr>
            <w:tcW w:w="713" w:type="pct"/>
            <w:tcMar>
              <w:top w:w="12" w:type="dxa"/>
              <w:left w:w="41" w:type="dxa"/>
              <w:bottom w:w="0" w:type="dxa"/>
              <w:right w:w="41" w:type="dxa"/>
            </w:tcMar>
            <w:vAlign w:val="center"/>
          </w:tcPr>
          <w:p>
            <w:pPr>
              <w:widowControl/>
              <w:spacing w:line="420" w:lineRule="exact"/>
              <w:jc w:val="center"/>
              <w:rPr>
                <w:rFonts w:hint="eastAsia" w:ascii="黑体" w:hAnsi="黑体" w:eastAsia="黑体" w:cs="仿宋_GB2312"/>
                <w:kern w:val="0"/>
                <w:sz w:val="28"/>
                <w:szCs w:val="28"/>
              </w:rPr>
            </w:pPr>
            <w:r>
              <w:rPr>
                <w:rFonts w:hint="eastAsia" w:ascii="Times New Roman" w:hAnsi="Times New Roman" w:eastAsia="黑体" w:cs="仿宋_GB2312"/>
                <w:color w:val="000000"/>
                <w:kern w:val="0"/>
                <w:sz w:val="28"/>
                <w:szCs w:val="28"/>
              </w:rPr>
              <w:t>备注(预期性或约束性)</w:t>
            </w:r>
            <w:r>
              <w:rPr>
                <w:rFonts w:hint="eastAsia" w:ascii="Times New Roman" w:hAnsi="Times New Roman" w:eastAsia="黑体" w:cs="仿宋_GB2312"/>
                <w:color w:val="000000"/>
                <w:sz w:val="28"/>
                <w:szCs w:val="28"/>
              </w:rPr>
              <w:t xml:space="preserve">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91" w:hRule="atLeast"/>
        </w:trPr>
        <w:tc>
          <w:tcPr>
            <w:tcW w:w="643" w:type="pct"/>
            <w:vMerge w:val="restart"/>
            <w:vAlign w:val="center"/>
          </w:tcPr>
          <w:p>
            <w:pPr>
              <w:widowControl/>
              <w:spacing w:line="420" w:lineRule="exact"/>
              <w:jc w:val="center"/>
              <w:rPr>
                <w:rFonts w:hint="eastAsia" w:ascii="Times New Roman" w:hAnsi="Times New Roman" w:eastAsia="仿宋_GB2312" w:cs="仿宋_GB2312"/>
                <w:kern w:val="0"/>
                <w:sz w:val="28"/>
                <w:szCs w:val="28"/>
              </w:rPr>
            </w:pPr>
            <w:r>
              <w:rPr>
                <w:rFonts w:hint="eastAsia" w:ascii="Times New Roman" w:hAnsi="Times New Roman" w:eastAsia="仿宋_GB2312" w:cs="仿宋_GB2312"/>
                <w:color w:val="000000"/>
                <w:kern w:val="0"/>
                <w:sz w:val="28"/>
                <w:szCs w:val="28"/>
              </w:rPr>
              <w:t>节约用水及水资源利用目标</w:t>
            </w:r>
          </w:p>
        </w:tc>
        <w:tc>
          <w:tcPr>
            <w:tcW w:w="1714" w:type="pct"/>
            <w:vAlign w:val="center"/>
          </w:tcPr>
          <w:p>
            <w:pPr>
              <w:widowControl/>
              <w:spacing w:line="420" w:lineRule="exact"/>
              <w:jc w:val="left"/>
              <w:rPr>
                <w:rFonts w:hint="eastAsia" w:ascii="Times New Roman" w:hAnsi="Times New Roman" w:eastAsia="仿宋_GB2312" w:cs="仿宋_GB2312"/>
                <w:kern w:val="0"/>
                <w:sz w:val="28"/>
                <w:szCs w:val="28"/>
              </w:rPr>
            </w:pPr>
            <w:r>
              <w:rPr>
                <w:rFonts w:hint="eastAsia" w:ascii="Times New Roman" w:hAnsi="Times New Roman" w:eastAsia="仿宋_GB2312" w:cs="仿宋_GB2312"/>
                <w:color w:val="000000"/>
                <w:kern w:val="0"/>
                <w:sz w:val="28"/>
                <w:szCs w:val="28"/>
              </w:rPr>
              <w:t>用水总量控制（亿立方米）</w:t>
            </w:r>
            <w:r>
              <w:rPr>
                <w:rFonts w:hint="eastAsia" w:ascii="Times New Roman" w:hAnsi="Times New Roman" w:eastAsia="仿宋_GB2312" w:cs="仿宋_GB2312"/>
                <w:color w:val="000000"/>
                <w:sz w:val="28"/>
                <w:szCs w:val="28"/>
              </w:rPr>
              <w:t xml:space="preserve"> </w:t>
            </w:r>
          </w:p>
        </w:tc>
        <w:tc>
          <w:tcPr>
            <w:tcW w:w="703" w:type="pct"/>
            <w:vAlign w:val="center"/>
          </w:tcPr>
          <w:p>
            <w:pPr>
              <w:widowControl/>
              <w:spacing w:line="420" w:lineRule="exact"/>
              <w:jc w:val="center"/>
              <w:rPr>
                <w:rFonts w:hint="eastAsia" w:ascii="Times New Roman" w:hAnsi="Times New Roman" w:eastAsia="仿宋_GB2312" w:cs="仿宋_GB2312"/>
                <w:kern w:val="0"/>
                <w:sz w:val="28"/>
                <w:szCs w:val="28"/>
              </w:rPr>
            </w:pPr>
            <w:r>
              <w:rPr>
                <w:rFonts w:hint="eastAsia" w:ascii="Times New Roman" w:hAnsi="Times New Roman" w:eastAsia="仿宋_GB2312" w:cs="仿宋_GB2312"/>
                <w:color w:val="000000"/>
                <w:kern w:val="0"/>
                <w:sz w:val="28"/>
                <w:szCs w:val="28"/>
              </w:rPr>
              <w:t>[30.95]</w:t>
            </w:r>
            <w:r>
              <w:rPr>
                <w:rFonts w:hint="eastAsia" w:ascii="Times New Roman" w:hAnsi="Times New Roman" w:eastAsia="仿宋_GB2312" w:cs="仿宋_GB2312"/>
                <w:color w:val="000000"/>
                <w:sz w:val="28"/>
                <w:szCs w:val="28"/>
              </w:rPr>
              <w:t xml:space="preserve"> </w:t>
            </w:r>
          </w:p>
        </w:tc>
        <w:tc>
          <w:tcPr>
            <w:tcW w:w="750" w:type="pct"/>
            <w:tcMar>
              <w:top w:w="12" w:type="dxa"/>
              <w:left w:w="41" w:type="dxa"/>
              <w:bottom w:w="0" w:type="dxa"/>
              <w:right w:w="41" w:type="dxa"/>
            </w:tcMar>
            <w:vAlign w:val="center"/>
          </w:tcPr>
          <w:p>
            <w:pPr>
              <w:widowControl/>
              <w:spacing w:line="420" w:lineRule="exact"/>
              <w:jc w:val="center"/>
              <w:rPr>
                <w:rFonts w:hint="eastAsia" w:ascii="Times New Roman" w:hAnsi="Times New Roman" w:eastAsia="仿宋_GB2312" w:cs="仿宋_GB2312"/>
                <w:kern w:val="0"/>
                <w:sz w:val="28"/>
                <w:szCs w:val="28"/>
              </w:rPr>
            </w:pPr>
            <w:r>
              <w:rPr>
                <w:rFonts w:hint="eastAsia" w:ascii="Times New Roman" w:hAnsi="Times New Roman" w:eastAsia="仿宋_GB2312" w:cs="仿宋_GB2312"/>
                <w:color w:val="000000"/>
                <w:kern w:val="0"/>
                <w:sz w:val="28"/>
                <w:szCs w:val="28"/>
              </w:rPr>
              <w:t>[ 26.77]</w:t>
            </w:r>
            <w:r>
              <w:rPr>
                <w:rFonts w:hint="eastAsia" w:ascii="Times New Roman" w:hAnsi="Times New Roman" w:eastAsia="仿宋_GB2312" w:cs="仿宋_GB2312"/>
                <w:color w:val="000000"/>
                <w:sz w:val="28"/>
                <w:szCs w:val="28"/>
              </w:rPr>
              <w:t xml:space="preserve"> </w:t>
            </w:r>
          </w:p>
        </w:tc>
        <w:tc>
          <w:tcPr>
            <w:tcW w:w="476" w:type="pct"/>
            <w:tcMar>
              <w:top w:w="12" w:type="dxa"/>
              <w:left w:w="108" w:type="dxa"/>
              <w:bottom w:w="0" w:type="dxa"/>
              <w:right w:w="108" w:type="dxa"/>
            </w:tcMar>
            <w:vAlign w:val="center"/>
          </w:tcPr>
          <w:p>
            <w:pPr>
              <w:widowControl/>
              <w:spacing w:line="420" w:lineRule="exact"/>
              <w:jc w:val="center"/>
              <w:rPr>
                <w:rFonts w:hint="eastAsia" w:ascii="Times New Roman" w:hAnsi="Times New Roman" w:eastAsia="仿宋_GB2312" w:cs="仿宋_GB2312"/>
                <w:kern w:val="0"/>
                <w:sz w:val="28"/>
                <w:szCs w:val="28"/>
              </w:rPr>
            </w:pPr>
            <w:r>
              <w:rPr>
                <w:rFonts w:hint="eastAsia" w:ascii="Times New Roman" w:hAnsi="Times New Roman" w:eastAsia="仿宋_GB2312" w:cs="仿宋_GB2312"/>
                <w:color w:val="000000"/>
                <w:kern w:val="0"/>
                <w:sz w:val="28"/>
                <w:szCs w:val="28"/>
              </w:rPr>
              <w:t>[26.81]</w:t>
            </w:r>
            <w:r>
              <w:rPr>
                <w:rFonts w:hint="eastAsia" w:ascii="Times New Roman" w:hAnsi="Times New Roman" w:eastAsia="仿宋_GB2312" w:cs="仿宋_GB2312"/>
                <w:color w:val="000000"/>
                <w:sz w:val="28"/>
                <w:szCs w:val="28"/>
              </w:rPr>
              <w:t xml:space="preserve"> </w:t>
            </w:r>
          </w:p>
        </w:tc>
        <w:tc>
          <w:tcPr>
            <w:tcW w:w="713" w:type="pct"/>
            <w:tcMar>
              <w:top w:w="12" w:type="dxa"/>
              <w:left w:w="108" w:type="dxa"/>
              <w:bottom w:w="0" w:type="dxa"/>
              <w:right w:w="108" w:type="dxa"/>
            </w:tcMar>
            <w:vAlign w:val="center"/>
          </w:tcPr>
          <w:p>
            <w:pPr>
              <w:widowControl/>
              <w:spacing w:line="420" w:lineRule="exact"/>
              <w:jc w:val="center"/>
              <w:rPr>
                <w:rFonts w:hint="eastAsia" w:ascii="Times New Roman" w:hAnsi="Times New Roman" w:eastAsia="仿宋_GB2312" w:cs="仿宋_GB2312"/>
                <w:color w:val="000000"/>
                <w:kern w:val="0"/>
                <w:sz w:val="28"/>
                <w:szCs w:val="28"/>
              </w:rPr>
            </w:pPr>
            <w:r>
              <w:rPr>
                <w:rFonts w:hint="eastAsia" w:ascii="Times New Roman" w:hAnsi="Times New Roman" w:eastAsia="仿宋_GB2312" w:cs="仿宋_GB2312"/>
                <w:color w:val="000000"/>
                <w:kern w:val="0"/>
                <w:sz w:val="28"/>
                <w:szCs w:val="28"/>
              </w:rPr>
              <w:t>约束性</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67" w:hRule="atLeast"/>
        </w:trPr>
        <w:tc>
          <w:tcPr>
            <w:tcW w:w="643" w:type="pct"/>
            <w:vMerge w:val="continue"/>
            <w:vAlign w:val="center"/>
          </w:tcPr>
          <w:p>
            <w:pPr>
              <w:widowControl/>
              <w:spacing w:line="420" w:lineRule="exact"/>
              <w:jc w:val="center"/>
              <w:rPr>
                <w:rFonts w:hint="eastAsia" w:ascii="Times New Roman" w:hAnsi="Times New Roman" w:eastAsia="仿宋_GB2312" w:cs="仿宋_GB2312"/>
                <w:kern w:val="0"/>
                <w:sz w:val="28"/>
                <w:szCs w:val="28"/>
              </w:rPr>
            </w:pPr>
          </w:p>
        </w:tc>
        <w:tc>
          <w:tcPr>
            <w:tcW w:w="1714" w:type="pct"/>
            <w:vAlign w:val="center"/>
          </w:tcPr>
          <w:p>
            <w:pPr>
              <w:widowControl/>
              <w:spacing w:line="420" w:lineRule="exact"/>
              <w:jc w:val="left"/>
              <w:rPr>
                <w:rFonts w:hint="eastAsia" w:ascii="Times New Roman" w:hAnsi="Times New Roman" w:eastAsia="仿宋_GB2312" w:cs="仿宋_GB2312"/>
                <w:kern w:val="0"/>
                <w:sz w:val="28"/>
                <w:szCs w:val="28"/>
              </w:rPr>
            </w:pPr>
            <w:r>
              <w:rPr>
                <w:rFonts w:hint="eastAsia" w:ascii="Times New Roman" w:hAnsi="Times New Roman" w:eastAsia="仿宋_GB2312" w:cs="仿宋_GB2312"/>
                <w:color w:val="000000"/>
                <w:kern w:val="0"/>
                <w:sz w:val="28"/>
                <w:szCs w:val="28"/>
              </w:rPr>
              <w:t>万元国内生产总值用水量下降（%）</w:t>
            </w:r>
            <w:r>
              <w:rPr>
                <w:rFonts w:hint="eastAsia" w:ascii="Times New Roman" w:hAnsi="Times New Roman" w:eastAsia="仿宋_GB2312" w:cs="仿宋_GB2312"/>
                <w:color w:val="000000"/>
                <w:sz w:val="28"/>
                <w:szCs w:val="28"/>
              </w:rPr>
              <w:t xml:space="preserve"> </w:t>
            </w:r>
          </w:p>
        </w:tc>
        <w:tc>
          <w:tcPr>
            <w:tcW w:w="703" w:type="pct"/>
            <w:vAlign w:val="center"/>
          </w:tcPr>
          <w:p>
            <w:pPr>
              <w:widowControl/>
              <w:spacing w:line="420" w:lineRule="exact"/>
              <w:jc w:val="center"/>
              <w:rPr>
                <w:rFonts w:hint="eastAsia" w:ascii="Times New Roman" w:hAnsi="Times New Roman" w:eastAsia="仿宋_GB2312" w:cs="仿宋_GB2312"/>
                <w:kern w:val="0"/>
                <w:sz w:val="28"/>
                <w:szCs w:val="28"/>
              </w:rPr>
            </w:pPr>
            <w:r>
              <w:rPr>
                <w:rFonts w:hint="eastAsia" w:ascii="Times New Roman" w:hAnsi="Times New Roman" w:eastAsia="仿宋_GB2312" w:cs="仿宋_GB2312"/>
                <w:color w:val="000000"/>
                <w:kern w:val="0"/>
                <w:sz w:val="28"/>
                <w:szCs w:val="28"/>
              </w:rPr>
              <w:t>22</w:t>
            </w:r>
            <w:r>
              <w:rPr>
                <w:rFonts w:hint="eastAsia" w:ascii="Times New Roman" w:hAnsi="Times New Roman" w:eastAsia="仿宋_GB2312" w:cs="仿宋_GB2312"/>
                <w:color w:val="000000"/>
                <w:sz w:val="28"/>
                <w:szCs w:val="28"/>
              </w:rPr>
              <w:t xml:space="preserve"> </w:t>
            </w:r>
          </w:p>
        </w:tc>
        <w:tc>
          <w:tcPr>
            <w:tcW w:w="750" w:type="pct"/>
            <w:tcMar>
              <w:top w:w="12" w:type="dxa"/>
              <w:left w:w="41" w:type="dxa"/>
              <w:bottom w:w="0" w:type="dxa"/>
              <w:right w:w="41" w:type="dxa"/>
            </w:tcMar>
            <w:vAlign w:val="center"/>
          </w:tcPr>
          <w:p>
            <w:pPr>
              <w:widowControl/>
              <w:spacing w:line="420" w:lineRule="exact"/>
              <w:jc w:val="center"/>
              <w:rPr>
                <w:rFonts w:hint="eastAsia"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24.1</w:t>
            </w:r>
          </w:p>
        </w:tc>
        <w:tc>
          <w:tcPr>
            <w:tcW w:w="476" w:type="pct"/>
            <w:tcMar>
              <w:top w:w="12" w:type="dxa"/>
              <w:left w:w="108" w:type="dxa"/>
              <w:bottom w:w="0" w:type="dxa"/>
              <w:right w:w="108" w:type="dxa"/>
            </w:tcMar>
            <w:vAlign w:val="center"/>
          </w:tcPr>
          <w:p>
            <w:pPr>
              <w:widowControl/>
              <w:spacing w:line="420" w:lineRule="exact"/>
              <w:jc w:val="center"/>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20</w:t>
            </w:r>
          </w:p>
        </w:tc>
        <w:tc>
          <w:tcPr>
            <w:tcW w:w="713" w:type="pct"/>
            <w:tcMar>
              <w:top w:w="12" w:type="dxa"/>
              <w:left w:w="108" w:type="dxa"/>
              <w:bottom w:w="0" w:type="dxa"/>
              <w:right w:w="108" w:type="dxa"/>
            </w:tcMar>
            <w:vAlign w:val="center"/>
          </w:tcPr>
          <w:p>
            <w:pPr>
              <w:widowControl/>
              <w:spacing w:line="420" w:lineRule="exact"/>
              <w:jc w:val="center"/>
              <w:rPr>
                <w:rFonts w:hint="eastAsia" w:ascii="Times New Roman" w:hAnsi="Times New Roman" w:eastAsia="仿宋_GB2312" w:cs="仿宋_GB2312"/>
                <w:color w:val="000000"/>
                <w:kern w:val="0"/>
                <w:sz w:val="28"/>
                <w:szCs w:val="28"/>
              </w:rPr>
            </w:pPr>
            <w:r>
              <w:rPr>
                <w:rFonts w:hint="eastAsia" w:ascii="Times New Roman" w:hAnsi="Times New Roman" w:eastAsia="仿宋_GB2312" w:cs="仿宋_GB2312"/>
                <w:color w:val="000000"/>
                <w:kern w:val="0"/>
                <w:sz w:val="28"/>
                <w:szCs w:val="28"/>
              </w:rPr>
              <w:t>约束性</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50" w:hRule="atLeast"/>
        </w:trPr>
        <w:tc>
          <w:tcPr>
            <w:tcW w:w="643" w:type="pct"/>
            <w:vMerge w:val="continue"/>
            <w:vAlign w:val="center"/>
          </w:tcPr>
          <w:p>
            <w:pPr>
              <w:widowControl/>
              <w:spacing w:line="420" w:lineRule="exact"/>
              <w:jc w:val="center"/>
              <w:rPr>
                <w:rFonts w:hint="eastAsia" w:ascii="Times New Roman" w:hAnsi="Times New Roman" w:eastAsia="仿宋_GB2312" w:cs="仿宋_GB2312"/>
                <w:kern w:val="0"/>
                <w:sz w:val="28"/>
                <w:szCs w:val="28"/>
              </w:rPr>
            </w:pPr>
          </w:p>
        </w:tc>
        <w:tc>
          <w:tcPr>
            <w:tcW w:w="1714" w:type="pct"/>
            <w:vAlign w:val="center"/>
          </w:tcPr>
          <w:p>
            <w:pPr>
              <w:widowControl/>
              <w:spacing w:line="420" w:lineRule="exact"/>
              <w:jc w:val="left"/>
              <w:rPr>
                <w:rFonts w:hint="eastAsia" w:ascii="Times New Roman" w:hAnsi="Times New Roman" w:eastAsia="仿宋_GB2312" w:cs="仿宋_GB2312"/>
                <w:kern w:val="0"/>
                <w:sz w:val="28"/>
                <w:szCs w:val="28"/>
              </w:rPr>
            </w:pPr>
            <w:r>
              <w:rPr>
                <w:rFonts w:hint="eastAsia" w:ascii="Times New Roman" w:hAnsi="Times New Roman" w:eastAsia="仿宋_GB2312" w:cs="仿宋_GB2312"/>
                <w:color w:val="000000"/>
                <w:kern w:val="0"/>
                <w:sz w:val="28"/>
                <w:szCs w:val="28"/>
              </w:rPr>
              <w:t>万元工业增加值用水量下降（%）</w:t>
            </w:r>
            <w:r>
              <w:rPr>
                <w:rFonts w:hint="eastAsia" w:ascii="Times New Roman" w:hAnsi="Times New Roman" w:eastAsia="仿宋_GB2312" w:cs="仿宋_GB2312"/>
                <w:color w:val="000000"/>
                <w:sz w:val="28"/>
                <w:szCs w:val="28"/>
              </w:rPr>
              <w:t xml:space="preserve"> </w:t>
            </w:r>
          </w:p>
        </w:tc>
        <w:tc>
          <w:tcPr>
            <w:tcW w:w="703" w:type="pct"/>
            <w:vAlign w:val="center"/>
          </w:tcPr>
          <w:p>
            <w:pPr>
              <w:widowControl/>
              <w:spacing w:line="420" w:lineRule="exact"/>
              <w:jc w:val="center"/>
              <w:rPr>
                <w:rFonts w:hint="eastAsia" w:ascii="Times New Roman" w:hAnsi="Times New Roman" w:eastAsia="仿宋_GB2312" w:cs="仿宋_GB2312"/>
                <w:kern w:val="0"/>
                <w:sz w:val="28"/>
                <w:szCs w:val="28"/>
              </w:rPr>
            </w:pPr>
            <w:r>
              <w:rPr>
                <w:rFonts w:hint="eastAsia" w:ascii="Times New Roman" w:hAnsi="Times New Roman" w:eastAsia="仿宋_GB2312" w:cs="仿宋_GB2312"/>
                <w:color w:val="000000"/>
                <w:kern w:val="0"/>
                <w:sz w:val="28"/>
                <w:szCs w:val="28"/>
              </w:rPr>
              <w:t>25</w:t>
            </w:r>
            <w:r>
              <w:rPr>
                <w:rFonts w:hint="eastAsia" w:ascii="Times New Roman" w:hAnsi="Times New Roman" w:eastAsia="仿宋_GB2312" w:cs="仿宋_GB2312"/>
                <w:color w:val="000000"/>
                <w:sz w:val="28"/>
                <w:szCs w:val="28"/>
              </w:rPr>
              <w:t xml:space="preserve"> </w:t>
            </w:r>
          </w:p>
        </w:tc>
        <w:tc>
          <w:tcPr>
            <w:tcW w:w="750" w:type="pct"/>
            <w:tcMar>
              <w:top w:w="12" w:type="dxa"/>
              <w:left w:w="41" w:type="dxa"/>
              <w:bottom w:w="0" w:type="dxa"/>
              <w:right w:w="41" w:type="dxa"/>
            </w:tcMar>
            <w:vAlign w:val="center"/>
          </w:tcPr>
          <w:p>
            <w:pPr>
              <w:widowControl/>
              <w:spacing w:line="420" w:lineRule="exact"/>
              <w:jc w:val="center"/>
              <w:rPr>
                <w:rFonts w:hint="eastAsia"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76</w:t>
            </w:r>
          </w:p>
        </w:tc>
        <w:tc>
          <w:tcPr>
            <w:tcW w:w="476" w:type="pct"/>
            <w:tcMar>
              <w:top w:w="12" w:type="dxa"/>
              <w:left w:w="108" w:type="dxa"/>
              <w:bottom w:w="0" w:type="dxa"/>
              <w:right w:w="108" w:type="dxa"/>
            </w:tcMar>
            <w:vAlign w:val="center"/>
          </w:tcPr>
          <w:p>
            <w:pPr>
              <w:widowControl/>
              <w:spacing w:line="420" w:lineRule="exact"/>
              <w:jc w:val="center"/>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13.5</w:t>
            </w:r>
          </w:p>
        </w:tc>
        <w:tc>
          <w:tcPr>
            <w:tcW w:w="713" w:type="pct"/>
            <w:tcMar>
              <w:top w:w="12" w:type="dxa"/>
              <w:left w:w="108" w:type="dxa"/>
              <w:bottom w:w="0" w:type="dxa"/>
              <w:right w:w="108" w:type="dxa"/>
            </w:tcMar>
            <w:vAlign w:val="center"/>
          </w:tcPr>
          <w:p>
            <w:pPr>
              <w:widowControl/>
              <w:spacing w:line="420" w:lineRule="exact"/>
              <w:jc w:val="center"/>
              <w:rPr>
                <w:rFonts w:hint="eastAsia" w:ascii="Times New Roman" w:hAnsi="Times New Roman" w:eastAsia="仿宋_GB2312" w:cs="仿宋_GB2312"/>
                <w:color w:val="000000"/>
                <w:kern w:val="0"/>
                <w:sz w:val="28"/>
                <w:szCs w:val="28"/>
              </w:rPr>
            </w:pPr>
            <w:r>
              <w:rPr>
                <w:rFonts w:hint="eastAsia" w:ascii="Times New Roman" w:hAnsi="Times New Roman" w:eastAsia="仿宋_GB2312" w:cs="仿宋_GB2312"/>
                <w:color w:val="000000"/>
                <w:kern w:val="0"/>
                <w:sz w:val="28"/>
                <w:szCs w:val="28"/>
              </w:rPr>
              <w:t>约束性</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95" w:hRule="atLeast"/>
        </w:trPr>
        <w:tc>
          <w:tcPr>
            <w:tcW w:w="643" w:type="pct"/>
            <w:vMerge w:val="continue"/>
            <w:vAlign w:val="center"/>
          </w:tcPr>
          <w:p>
            <w:pPr>
              <w:widowControl/>
              <w:spacing w:line="420" w:lineRule="exact"/>
              <w:jc w:val="center"/>
              <w:rPr>
                <w:rFonts w:hint="eastAsia" w:ascii="Times New Roman" w:hAnsi="Times New Roman" w:eastAsia="仿宋_GB2312" w:cs="仿宋_GB2312"/>
                <w:kern w:val="0"/>
                <w:sz w:val="28"/>
                <w:szCs w:val="28"/>
              </w:rPr>
            </w:pPr>
          </w:p>
        </w:tc>
        <w:tc>
          <w:tcPr>
            <w:tcW w:w="1714" w:type="pct"/>
            <w:vAlign w:val="center"/>
          </w:tcPr>
          <w:p>
            <w:pPr>
              <w:widowControl/>
              <w:spacing w:line="420" w:lineRule="exact"/>
              <w:jc w:val="left"/>
              <w:rPr>
                <w:rFonts w:hint="eastAsia" w:ascii="Times New Roman" w:hAnsi="Times New Roman" w:eastAsia="仿宋_GB2312" w:cs="仿宋_GB2312"/>
                <w:kern w:val="0"/>
                <w:sz w:val="28"/>
                <w:szCs w:val="28"/>
              </w:rPr>
            </w:pPr>
            <w:r>
              <w:rPr>
                <w:rFonts w:hint="eastAsia" w:ascii="Times New Roman" w:hAnsi="Times New Roman" w:eastAsia="仿宋_GB2312" w:cs="仿宋_GB2312"/>
                <w:color w:val="000000"/>
                <w:kern w:val="0"/>
                <w:sz w:val="28"/>
                <w:szCs w:val="28"/>
              </w:rPr>
              <w:t>农田灌溉水有效利用系数</w:t>
            </w:r>
            <w:r>
              <w:rPr>
                <w:rFonts w:hint="eastAsia" w:ascii="Times New Roman" w:hAnsi="Times New Roman" w:eastAsia="仿宋_GB2312" w:cs="仿宋_GB2312"/>
                <w:color w:val="000000"/>
                <w:sz w:val="28"/>
                <w:szCs w:val="28"/>
              </w:rPr>
              <w:t xml:space="preserve"> </w:t>
            </w:r>
          </w:p>
        </w:tc>
        <w:tc>
          <w:tcPr>
            <w:tcW w:w="703" w:type="pct"/>
            <w:vAlign w:val="center"/>
          </w:tcPr>
          <w:p>
            <w:pPr>
              <w:widowControl/>
              <w:spacing w:line="420" w:lineRule="exact"/>
              <w:jc w:val="center"/>
              <w:rPr>
                <w:rFonts w:hint="eastAsia" w:ascii="Times New Roman" w:hAnsi="Times New Roman" w:eastAsia="仿宋_GB2312" w:cs="仿宋_GB2312"/>
                <w:kern w:val="0"/>
                <w:sz w:val="28"/>
                <w:szCs w:val="28"/>
              </w:rPr>
            </w:pPr>
            <w:r>
              <w:rPr>
                <w:rFonts w:hint="eastAsia" w:ascii="Times New Roman" w:hAnsi="Times New Roman" w:eastAsia="仿宋_GB2312" w:cs="仿宋_GB2312"/>
                <w:color w:val="000000"/>
                <w:kern w:val="0"/>
                <w:sz w:val="28"/>
                <w:szCs w:val="28"/>
              </w:rPr>
              <w:t>[0.64]</w:t>
            </w:r>
            <w:r>
              <w:rPr>
                <w:rFonts w:hint="eastAsia" w:ascii="Times New Roman" w:hAnsi="Times New Roman" w:eastAsia="仿宋_GB2312" w:cs="仿宋_GB2312"/>
                <w:color w:val="000000"/>
                <w:sz w:val="28"/>
                <w:szCs w:val="28"/>
              </w:rPr>
              <w:t xml:space="preserve"> </w:t>
            </w:r>
          </w:p>
        </w:tc>
        <w:tc>
          <w:tcPr>
            <w:tcW w:w="750" w:type="pct"/>
            <w:tcMar>
              <w:top w:w="12" w:type="dxa"/>
              <w:left w:w="41" w:type="dxa"/>
              <w:bottom w:w="0" w:type="dxa"/>
              <w:right w:w="41" w:type="dxa"/>
            </w:tcMar>
            <w:vAlign w:val="center"/>
          </w:tcPr>
          <w:p>
            <w:pPr>
              <w:widowControl/>
              <w:spacing w:line="420" w:lineRule="exact"/>
              <w:jc w:val="center"/>
              <w:rPr>
                <w:rFonts w:hint="eastAsia" w:ascii="Times New Roman" w:hAnsi="Times New Roman" w:eastAsia="仿宋_GB2312" w:cs="仿宋_GB2312"/>
                <w:kern w:val="0"/>
                <w:sz w:val="28"/>
                <w:szCs w:val="28"/>
              </w:rPr>
            </w:pPr>
            <w:r>
              <w:rPr>
                <w:rFonts w:hint="eastAsia" w:ascii="Times New Roman" w:hAnsi="Times New Roman" w:eastAsia="仿宋_GB2312" w:cs="仿宋_GB2312"/>
                <w:color w:val="000000"/>
                <w:kern w:val="0"/>
                <w:sz w:val="28"/>
                <w:szCs w:val="28"/>
              </w:rPr>
              <w:t>[0.675]</w:t>
            </w:r>
            <w:r>
              <w:rPr>
                <w:rFonts w:hint="eastAsia" w:ascii="Times New Roman" w:hAnsi="Times New Roman" w:eastAsia="仿宋_GB2312" w:cs="仿宋_GB2312"/>
                <w:color w:val="000000"/>
                <w:sz w:val="28"/>
                <w:szCs w:val="28"/>
              </w:rPr>
              <w:t xml:space="preserve"> </w:t>
            </w:r>
          </w:p>
        </w:tc>
        <w:tc>
          <w:tcPr>
            <w:tcW w:w="476" w:type="pct"/>
            <w:tcMar>
              <w:top w:w="12" w:type="dxa"/>
              <w:left w:w="108" w:type="dxa"/>
              <w:bottom w:w="0" w:type="dxa"/>
              <w:right w:w="108" w:type="dxa"/>
            </w:tcMar>
            <w:vAlign w:val="center"/>
          </w:tcPr>
          <w:p>
            <w:pPr>
              <w:widowControl/>
              <w:spacing w:line="420" w:lineRule="exact"/>
              <w:jc w:val="center"/>
              <w:rPr>
                <w:rFonts w:hint="eastAsia" w:ascii="Times New Roman" w:hAnsi="Times New Roman" w:eastAsia="仿宋_GB2312" w:cs="仿宋_GB2312"/>
                <w:kern w:val="0"/>
                <w:sz w:val="28"/>
                <w:szCs w:val="28"/>
              </w:rPr>
            </w:pPr>
            <w:r>
              <w:rPr>
                <w:rFonts w:hint="eastAsia" w:ascii="Times New Roman" w:hAnsi="Times New Roman" w:eastAsia="仿宋_GB2312" w:cs="仿宋_GB2312"/>
                <w:color w:val="000000"/>
                <w:kern w:val="0"/>
                <w:sz w:val="28"/>
                <w:szCs w:val="28"/>
              </w:rPr>
              <w:t>[0.69]</w:t>
            </w:r>
            <w:r>
              <w:rPr>
                <w:rFonts w:hint="eastAsia" w:ascii="Times New Roman" w:hAnsi="Times New Roman" w:eastAsia="仿宋_GB2312" w:cs="仿宋_GB2312"/>
                <w:color w:val="000000"/>
                <w:sz w:val="28"/>
                <w:szCs w:val="28"/>
              </w:rPr>
              <w:t xml:space="preserve"> </w:t>
            </w:r>
          </w:p>
        </w:tc>
        <w:tc>
          <w:tcPr>
            <w:tcW w:w="713" w:type="pct"/>
            <w:tcMar>
              <w:top w:w="12" w:type="dxa"/>
              <w:left w:w="108" w:type="dxa"/>
              <w:bottom w:w="0" w:type="dxa"/>
              <w:right w:w="108" w:type="dxa"/>
            </w:tcMar>
            <w:vAlign w:val="center"/>
          </w:tcPr>
          <w:p>
            <w:pPr>
              <w:widowControl/>
              <w:spacing w:line="420" w:lineRule="exact"/>
              <w:jc w:val="center"/>
              <w:rPr>
                <w:rFonts w:hint="eastAsia" w:ascii="Times New Roman" w:hAnsi="Times New Roman" w:eastAsia="仿宋_GB2312" w:cs="仿宋_GB2312"/>
                <w:color w:val="000000"/>
                <w:kern w:val="0"/>
                <w:sz w:val="28"/>
                <w:szCs w:val="28"/>
              </w:rPr>
            </w:pPr>
            <w:r>
              <w:rPr>
                <w:rFonts w:hint="eastAsia" w:ascii="Times New Roman" w:hAnsi="Times New Roman" w:eastAsia="仿宋_GB2312" w:cs="仿宋_GB2312"/>
                <w:color w:val="000000"/>
                <w:kern w:val="0"/>
                <w:sz w:val="28"/>
                <w:szCs w:val="28"/>
              </w:rPr>
              <w:t>约束性</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31" w:hRule="atLeast"/>
        </w:trPr>
        <w:tc>
          <w:tcPr>
            <w:tcW w:w="643" w:type="pct"/>
            <w:vMerge w:val="restart"/>
            <w:vAlign w:val="center"/>
          </w:tcPr>
          <w:p>
            <w:pPr>
              <w:widowControl/>
              <w:spacing w:line="420" w:lineRule="exact"/>
              <w:jc w:val="center"/>
              <w:rPr>
                <w:rFonts w:hint="eastAsia" w:ascii="Times New Roman" w:hAnsi="Times New Roman" w:eastAsia="仿宋_GB2312" w:cs="仿宋_GB2312"/>
                <w:kern w:val="0"/>
                <w:sz w:val="28"/>
                <w:szCs w:val="28"/>
              </w:rPr>
            </w:pPr>
            <w:r>
              <w:rPr>
                <w:rFonts w:hint="eastAsia" w:ascii="Times New Roman" w:hAnsi="Times New Roman" w:eastAsia="仿宋_GB2312" w:cs="仿宋_GB2312"/>
                <w:color w:val="000000"/>
                <w:kern w:val="0"/>
                <w:sz w:val="28"/>
                <w:szCs w:val="28"/>
              </w:rPr>
              <w:t>城乡供水安全保障目标</w:t>
            </w:r>
          </w:p>
        </w:tc>
        <w:tc>
          <w:tcPr>
            <w:tcW w:w="1714" w:type="pct"/>
            <w:vAlign w:val="center"/>
          </w:tcPr>
          <w:p>
            <w:pPr>
              <w:widowControl/>
              <w:spacing w:line="420" w:lineRule="exact"/>
              <w:jc w:val="left"/>
              <w:rPr>
                <w:rFonts w:hint="eastAsia" w:ascii="Times New Roman" w:hAnsi="Times New Roman" w:eastAsia="仿宋_GB2312" w:cs="仿宋_GB2312"/>
                <w:kern w:val="0"/>
                <w:sz w:val="28"/>
                <w:szCs w:val="28"/>
              </w:rPr>
            </w:pPr>
            <w:r>
              <w:rPr>
                <w:rFonts w:hint="eastAsia" w:ascii="Times New Roman" w:hAnsi="Times New Roman" w:eastAsia="仿宋_GB2312" w:cs="仿宋_GB2312"/>
                <w:color w:val="000000"/>
                <w:kern w:val="0"/>
                <w:sz w:val="28"/>
                <w:szCs w:val="28"/>
              </w:rPr>
              <w:t>农村自来水普及率（%）</w:t>
            </w:r>
            <w:r>
              <w:rPr>
                <w:rFonts w:hint="eastAsia" w:ascii="Times New Roman" w:hAnsi="Times New Roman" w:eastAsia="仿宋_GB2312" w:cs="仿宋_GB2312"/>
                <w:color w:val="000000"/>
                <w:sz w:val="28"/>
                <w:szCs w:val="28"/>
              </w:rPr>
              <w:t xml:space="preserve"> </w:t>
            </w:r>
          </w:p>
        </w:tc>
        <w:tc>
          <w:tcPr>
            <w:tcW w:w="703" w:type="pct"/>
            <w:vAlign w:val="center"/>
          </w:tcPr>
          <w:p>
            <w:pPr>
              <w:widowControl/>
              <w:spacing w:line="420" w:lineRule="exact"/>
              <w:jc w:val="center"/>
              <w:rPr>
                <w:rFonts w:hint="eastAsia" w:ascii="Times New Roman" w:hAnsi="Times New Roman" w:eastAsia="仿宋_GB2312" w:cs="仿宋_GB2312"/>
                <w:kern w:val="0"/>
                <w:sz w:val="28"/>
                <w:szCs w:val="28"/>
              </w:rPr>
            </w:pPr>
            <w:r>
              <w:rPr>
                <w:rFonts w:hint="eastAsia" w:ascii="Times New Roman" w:hAnsi="Times New Roman" w:eastAsia="仿宋_GB2312" w:cs="仿宋_GB2312"/>
                <w:color w:val="000000"/>
                <w:kern w:val="0"/>
                <w:sz w:val="28"/>
                <w:szCs w:val="28"/>
              </w:rPr>
              <w:t>[ 75% ]</w:t>
            </w:r>
            <w:r>
              <w:rPr>
                <w:rFonts w:hint="eastAsia" w:ascii="Times New Roman" w:hAnsi="Times New Roman" w:eastAsia="仿宋_GB2312" w:cs="仿宋_GB2312"/>
                <w:color w:val="000000"/>
                <w:sz w:val="28"/>
                <w:szCs w:val="28"/>
              </w:rPr>
              <w:t xml:space="preserve"> </w:t>
            </w:r>
          </w:p>
        </w:tc>
        <w:tc>
          <w:tcPr>
            <w:tcW w:w="750" w:type="pct"/>
            <w:tcMar>
              <w:top w:w="12" w:type="dxa"/>
              <w:left w:w="41" w:type="dxa"/>
              <w:bottom w:w="0" w:type="dxa"/>
              <w:right w:w="41" w:type="dxa"/>
            </w:tcMar>
            <w:vAlign w:val="center"/>
          </w:tcPr>
          <w:p>
            <w:pPr>
              <w:widowControl/>
              <w:spacing w:line="420" w:lineRule="exact"/>
              <w:jc w:val="center"/>
              <w:rPr>
                <w:rFonts w:hint="eastAsia" w:ascii="Times New Roman" w:hAnsi="Times New Roman" w:eastAsia="仿宋_GB2312" w:cs="仿宋_GB2312"/>
                <w:kern w:val="0"/>
                <w:sz w:val="28"/>
                <w:szCs w:val="28"/>
              </w:rPr>
            </w:pPr>
            <w:r>
              <w:rPr>
                <w:rFonts w:hint="eastAsia" w:ascii="Times New Roman" w:hAnsi="Times New Roman" w:eastAsia="仿宋_GB2312" w:cs="仿宋_GB2312"/>
                <w:color w:val="000000"/>
                <w:kern w:val="0"/>
                <w:sz w:val="28"/>
                <w:szCs w:val="28"/>
              </w:rPr>
              <w:t>[ 84.3% ]</w:t>
            </w:r>
            <w:r>
              <w:rPr>
                <w:rFonts w:hint="eastAsia" w:ascii="Times New Roman" w:hAnsi="Times New Roman" w:eastAsia="仿宋_GB2312" w:cs="仿宋_GB2312"/>
                <w:color w:val="000000"/>
                <w:sz w:val="28"/>
                <w:szCs w:val="28"/>
              </w:rPr>
              <w:t xml:space="preserve"> </w:t>
            </w:r>
          </w:p>
        </w:tc>
        <w:tc>
          <w:tcPr>
            <w:tcW w:w="476" w:type="pct"/>
            <w:tcMar>
              <w:top w:w="12" w:type="dxa"/>
              <w:left w:w="108" w:type="dxa"/>
              <w:bottom w:w="0" w:type="dxa"/>
              <w:right w:w="108" w:type="dxa"/>
            </w:tcMar>
            <w:vAlign w:val="center"/>
          </w:tcPr>
          <w:p>
            <w:pPr>
              <w:widowControl/>
              <w:spacing w:line="420" w:lineRule="exact"/>
              <w:jc w:val="center"/>
              <w:rPr>
                <w:rFonts w:hint="eastAsia" w:ascii="Times New Roman" w:hAnsi="Times New Roman" w:eastAsia="仿宋_GB2312" w:cs="仿宋_GB2312"/>
                <w:kern w:val="0"/>
                <w:sz w:val="28"/>
                <w:szCs w:val="28"/>
              </w:rPr>
            </w:pPr>
            <w:r>
              <w:rPr>
                <w:rFonts w:hint="eastAsia" w:ascii="Times New Roman" w:hAnsi="Times New Roman" w:eastAsia="仿宋_GB2312" w:cs="仿宋_GB2312"/>
                <w:color w:val="000000"/>
                <w:kern w:val="0"/>
                <w:sz w:val="28"/>
                <w:szCs w:val="28"/>
              </w:rPr>
              <w:t>[ 86% ]</w:t>
            </w:r>
            <w:r>
              <w:rPr>
                <w:rFonts w:hint="eastAsia" w:ascii="Times New Roman" w:hAnsi="Times New Roman" w:eastAsia="仿宋_GB2312" w:cs="仿宋_GB2312"/>
                <w:color w:val="000000"/>
                <w:sz w:val="28"/>
                <w:szCs w:val="28"/>
              </w:rPr>
              <w:t xml:space="preserve"> </w:t>
            </w:r>
          </w:p>
        </w:tc>
        <w:tc>
          <w:tcPr>
            <w:tcW w:w="713" w:type="pct"/>
            <w:tcMar>
              <w:top w:w="12" w:type="dxa"/>
              <w:left w:w="108" w:type="dxa"/>
              <w:bottom w:w="0" w:type="dxa"/>
              <w:right w:w="108" w:type="dxa"/>
            </w:tcMar>
            <w:vAlign w:val="center"/>
          </w:tcPr>
          <w:p>
            <w:pPr>
              <w:widowControl/>
              <w:spacing w:line="420" w:lineRule="exact"/>
              <w:jc w:val="center"/>
              <w:rPr>
                <w:rFonts w:hint="eastAsia" w:ascii="Times New Roman" w:hAnsi="Times New Roman" w:eastAsia="仿宋_GB2312" w:cs="仿宋_GB2312"/>
                <w:color w:val="000000"/>
                <w:kern w:val="0"/>
                <w:sz w:val="28"/>
                <w:szCs w:val="28"/>
              </w:rPr>
            </w:pPr>
            <w:r>
              <w:rPr>
                <w:rFonts w:hint="eastAsia" w:ascii="Times New Roman" w:hAnsi="Times New Roman" w:eastAsia="仿宋_GB2312" w:cs="仿宋_GB2312"/>
                <w:color w:val="000000"/>
                <w:kern w:val="0"/>
                <w:sz w:val="28"/>
                <w:szCs w:val="28"/>
              </w:rPr>
              <w:t>预期性</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643" w:type="pct"/>
            <w:vMerge w:val="continue"/>
            <w:vAlign w:val="center"/>
          </w:tcPr>
          <w:p>
            <w:pPr>
              <w:widowControl/>
              <w:spacing w:line="420" w:lineRule="exact"/>
              <w:jc w:val="center"/>
              <w:rPr>
                <w:rFonts w:hint="eastAsia" w:ascii="Times New Roman" w:hAnsi="Times New Roman" w:eastAsia="仿宋_GB2312" w:cs="仿宋_GB2312"/>
                <w:kern w:val="0"/>
                <w:sz w:val="28"/>
                <w:szCs w:val="28"/>
              </w:rPr>
            </w:pPr>
          </w:p>
        </w:tc>
        <w:tc>
          <w:tcPr>
            <w:tcW w:w="1714" w:type="pct"/>
            <w:vAlign w:val="center"/>
          </w:tcPr>
          <w:p>
            <w:pPr>
              <w:widowControl/>
              <w:spacing w:line="420" w:lineRule="exact"/>
              <w:jc w:val="left"/>
              <w:rPr>
                <w:rFonts w:hint="eastAsia" w:ascii="Times New Roman" w:hAnsi="Times New Roman" w:eastAsia="仿宋_GB2312" w:cs="仿宋_GB2312"/>
                <w:kern w:val="0"/>
                <w:sz w:val="28"/>
                <w:szCs w:val="28"/>
              </w:rPr>
            </w:pPr>
            <w:r>
              <w:rPr>
                <w:rFonts w:hint="eastAsia" w:ascii="Times New Roman" w:hAnsi="Times New Roman" w:eastAsia="仿宋_GB2312" w:cs="仿宋_GB2312"/>
                <w:color w:val="000000"/>
                <w:kern w:val="0"/>
                <w:sz w:val="28"/>
                <w:szCs w:val="28"/>
              </w:rPr>
              <w:t>农村集中式供水人口比例（%）</w:t>
            </w:r>
            <w:r>
              <w:rPr>
                <w:rFonts w:hint="eastAsia" w:ascii="Times New Roman" w:hAnsi="Times New Roman" w:eastAsia="仿宋_GB2312" w:cs="仿宋_GB2312"/>
                <w:color w:val="000000"/>
                <w:sz w:val="28"/>
                <w:szCs w:val="28"/>
              </w:rPr>
              <w:t xml:space="preserve"> </w:t>
            </w:r>
          </w:p>
        </w:tc>
        <w:tc>
          <w:tcPr>
            <w:tcW w:w="703" w:type="pct"/>
            <w:vAlign w:val="center"/>
          </w:tcPr>
          <w:p>
            <w:pPr>
              <w:widowControl/>
              <w:spacing w:line="420" w:lineRule="exact"/>
              <w:jc w:val="center"/>
              <w:rPr>
                <w:rFonts w:hint="eastAsia" w:ascii="Times New Roman" w:hAnsi="Times New Roman" w:eastAsia="仿宋_GB2312" w:cs="仿宋_GB2312"/>
                <w:kern w:val="0"/>
                <w:sz w:val="28"/>
                <w:szCs w:val="28"/>
              </w:rPr>
            </w:pPr>
            <w:r>
              <w:rPr>
                <w:rFonts w:hint="eastAsia" w:ascii="Times New Roman" w:hAnsi="Times New Roman" w:eastAsia="仿宋_GB2312" w:cs="仿宋_GB2312"/>
                <w:color w:val="000000"/>
                <w:kern w:val="0"/>
                <w:sz w:val="28"/>
                <w:szCs w:val="28"/>
              </w:rPr>
              <w:t>[ 80%]</w:t>
            </w:r>
            <w:r>
              <w:rPr>
                <w:rFonts w:hint="eastAsia" w:ascii="Times New Roman" w:hAnsi="Times New Roman" w:eastAsia="仿宋_GB2312" w:cs="仿宋_GB2312"/>
                <w:color w:val="000000"/>
                <w:sz w:val="28"/>
                <w:szCs w:val="28"/>
              </w:rPr>
              <w:t xml:space="preserve"> </w:t>
            </w:r>
          </w:p>
        </w:tc>
        <w:tc>
          <w:tcPr>
            <w:tcW w:w="750" w:type="pct"/>
            <w:tcMar>
              <w:top w:w="12" w:type="dxa"/>
              <w:left w:w="41" w:type="dxa"/>
              <w:bottom w:w="0" w:type="dxa"/>
              <w:right w:w="41" w:type="dxa"/>
            </w:tcMar>
            <w:vAlign w:val="center"/>
          </w:tcPr>
          <w:p>
            <w:pPr>
              <w:widowControl/>
              <w:spacing w:line="420" w:lineRule="exact"/>
              <w:jc w:val="center"/>
              <w:rPr>
                <w:rFonts w:hint="eastAsia" w:ascii="Times New Roman" w:hAnsi="Times New Roman" w:eastAsia="仿宋_GB2312" w:cs="仿宋_GB2312"/>
                <w:kern w:val="0"/>
                <w:sz w:val="28"/>
                <w:szCs w:val="28"/>
              </w:rPr>
            </w:pPr>
            <w:r>
              <w:rPr>
                <w:rFonts w:hint="eastAsia" w:ascii="Times New Roman" w:hAnsi="Times New Roman" w:eastAsia="仿宋_GB2312" w:cs="仿宋_GB2312"/>
                <w:color w:val="000000"/>
                <w:kern w:val="0"/>
                <w:sz w:val="28"/>
                <w:szCs w:val="28"/>
              </w:rPr>
              <w:t>[ 84.3% ]</w:t>
            </w:r>
            <w:r>
              <w:rPr>
                <w:rFonts w:hint="eastAsia" w:ascii="Times New Roman" w:hAnsi="Times New Roman" w:eastAsia="仿宋_GB2312" w:cs="仿宋_GB2312"/>
                <w:color w:val="000000"/>
                <w:sz w:val="28"/>
                <w:szCs w:val="28"/>
              </w:rPr>
              <w:t xml:space="preserve"> </w:t>
            </w:r>
          </w:p>
        </w:tc>
        <w:tc>
          <w:tcPr>
            <w:tcW w:w="476" w:type="pct"/>
            <w:tcMar>
              <w:top w:w="12" w:type="dxa"/>
              <w:left w:w="108" w:type="dxa"/>
              <w:bottom w:w="0" w:type="dxa"/>
              <w:right w:w="108" w:type="dxa"/>
            </w:tcMar>
            <w:vAlign w:val="center"/>
          </w:tcPr>
          <w:p>
            <w:pPr>
              <w:widowControl/>
              <w:spacing w:line="420" w:lineRule="exact"/>
              <w:jc w:val="center"/>
              <w:rPr>
                <w:rFonts w:hint="eastAsia" w:ascii="Times New Roman" w:hAnsi="Times New Roman" w:eastAsia="仿宋_GB2312" w:cs="仿宋_GB2312"/>
                <w:kern w:val="0"/>
                <w:sz w:val="28"/>
                <w:szCs w:val="28"/>
              </w:rPr>
            </w:pPr>
            <w:r>
              <w:rPr>
                <w:rFonts w:hint="eastAsia" w:ascii="Times New Roman" w:hAnsi="Times New Roman" w:eastAsia="仿宋_GB2312" w:cs="仿宋_GB2312"/>
                <w:color w:val="000000"/>
                <w:kern w:val="0"/>
                <w:sz w:val="28"/>
                <w:szCs w:val="28"/>
              </w:rPr>
              <w:t>[ 86% ]</w:t>
            </w:r>
            <w:r>
              <w:rPr>
                <w:rFonts w:hint="eastAsia" w:ascii="Times New Roman" w:hAnsi="Times New Roman" w:eastAsia="仿宋_GB2312" w:cs="仿宋_GB2312"/>
                <w:color w:val="000000"/>
                <w:sz w:val="28"/>
                <w:szCs w:val="28"/>
              </w:rPr>
              <w:t xml:space="preserve"> </w:t>
            </w:r>
          </w:p>
        </w:tc>
        <w:tc>
          <w:tcPr>
            <w:tcW w:w="713" w:type="pct"/>
            <w:tcMar>
              <w:top w:w="12" w:type="dxa"/>
              <w:left w:w="108" w:type="dxa"/>
              <w:bottom w:w="0" w:type="dxa"/>
              <w:right w:w="108" w:type="dxa"/>
            </w:tcMar>
            <w:vAlign w:val="center"/>
          </w:tcPr>
          <w:p>
            <w:pPr>
              <w:widowControl/>
              <w:spacing w:line="420" w:lineRule="exact"/>
              <w:jc w:val="center"/>
              <w:rPr>
                <w:rFonts w:hint="eastAsia" w:ascii="Times New Roman" w:hAnsi="Times New Roman" w:eastAsia="仿宋_GB2312" w:cs="仿宋_GB2312"/>
                <w:color w:val="000000"/>
                <w:kern w:val="0"/>
                <w:sz w:val="28"/>
                <w:szCs w:val="28"/>
              </w:rPr>
            </w:pPr>
            <w:r>
              <w:rPr>
                <w:rFonts w:hint="eastAsia" w:ascii="Times New Roman" w:hAnsi="Times New Roman" w:eastAsia="仿宋_GB2312" w:cs="仿宋_GB2312"/>
                <w:color w:val="000000"/>
                <w:kern w:val="0"/>
                <w:sz w:val="28"/>
                <w:szCs w:val="28"/>
              </w:rPr>
              <w:t>预期性</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0" w:hRule="atLeast"/>
        </w:trPr>
        <w:tc>
          <w:tcPr>
            <w:tcW w:w="643" w:type="pct"/>
            <w:vAlign w:val="center"/>
          </w:tcPr>
          <w:p>
            <w:pPr>
              <w:widowControl/>
              <w:spacing w:line="420" w:lineRule="exact"/>
              <w:jc w:val="center"/>
              <w:rPr>
                <w:rFonts w:hint="eastAsia" w:ascii="Times New Roman" w:hAnsi="Times New Roman" w:eastAsia="仿宋_GB2312" w:cs="仿宋_GB2312"/>
                <w:kern w:val="0"/>
                <w:sz w:val="28"/>
                <w:szCs w:val="28"/>
              </w:rPr>
            </w:pPr>
            <w:r>
              <w:rPr>
                <w:rFonts w:hint="eastAsia" w:ascii="Times New Roman" w:hAnsi="Times New Roman" w:eastAsia="仿宋_GB2312" w:cs="仿宋_GB2312"/>
                <w:color w:val="000000"/>
                <w:kern w:val="0"/>
                <w:sz w:val="28"/>
                <w:szCs w:val="28"/>
              </w:rPr>
              <w:t>水生态治理与保护目标</w:t>
            </w:r>
          </w:p>
        </w:tc>
        <w:tc>
          <w:tcPr>
            <w:tcW w:w="1714" w:type="pct"/>
            <w:vAlign w:val="center"/>
          </w:tcPr>
          <w:p>
            <w:pPr>
              <w:widowControl/>
              <w:spacing w:line="420" w:lineRule="exact"/>
              <w:jc w:val="left"/>
              <w:rPr>
                <w:rFonts w:hint="eastAsia" w:ascii="Times New Roman" w:hAnsi="Times New Roman" w:eastAsia="仿宋_GB2312" w:cs="仿宋_GB2312"/>
                <w:kern w:val="0"/>
                <w:sz w:val="28"/>
                <w:szCs w:val="28"/>
              </w:rPr>
            </w:pPr>
            <w:r>
              <w:rPr>
                <w:rFonts w:hint="eastAsia" w:ascii="Times New Roman" w:hAnsi="Times New Roman" w:eastAsia="仿宋_GB2312" w:cs="仿宋_GB2312"/>
                <w:color w:val="000000"/>
                <w:kern w:val="0"/>
                <w:sz w:val="28"/>
                <w:szCs w:val="28"/>
              </w:rPr>
              <w:t>新增水土流失综合治理面积（平方公里）</w:t>
            </w:r>
            <w:r>
              <w:rPr>
                <w:rFonts w:hint="eastAsia" w:ascii="Times New Roman" w:hAnsi="Times New Roman" w:eastAsia="仿宋_GB2312" w:cs="仿宋_GB2312"/>
                <w:color w:val="000000"/>
                <w:sz w:val="28"/>
                <w:szCs w:val="28"/>
              </w:rPr>
              <w:t xml:space="preserve"> </w:t>
            </w:r>
          </w:p>
        </w:tc>
        <w:tc>
          <w:tcPr>
            <w:tcW w:w="703" w:type="pct"/>
            <w:vAlign w:val="center"/>
          </w:tcPr>
          <w:p>
            <w:pPr>
              <w:widowControl/>
              <w:spacing w:line="420" w:lineRule="exact"/>
              <w:jc w:val="center"/>
              <w:rPr>
                <w:rFonts w:hint="eastAsia"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429.4</w:t>
            </w:r>
          </w:p>
        </w:tc>
        <w:tc>
          <w:tcPr>
            <w:tcW w:w="750" w:type="pct"/>
            <w:tcMar>
              <w:top w:w="12" w:type="dxa"/>
              <w:left w:w="41" w:type="dxa"/>
              <w:bottom w:w="0" w:type="dxa"/>
              <w:right w:w="41" w:type="dxa"/>
            </w:tcMar>
            <w:vAlign w:val="center"/>
          </w:tcPr>
          <w:p>
            <w:pPr>
              <w:widowControl/>
              <w:spacing w:line="420" w:lineRule="exact"/>
              <w:jc w:val="center"/>
              <w:rPr>
                <w:rFonts w:hint="eastAsia"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138.613</w:t>
            </w:r>
          </w:p>
        </w:tc>
        <w:tc>
          <w:tcPr>
            <w:tcW w:w="476" w:type="pct"/>
            <w:tcMar>
              <w:top w:w="12" w:type="dxa"/>
              <w:left w:w="108" w:type="dxa"/>
              <w:bottom w:w="0" w:type="dxa"/>
              <w:right w:w="108" w:type="dxa"/>
            </w:tcMar>
            <w:vAlign w:val="center"/>
          </w:tcPr>
          <w:p>
            <w:pPr>
              <w:widowControl/>
              <w:spacing w:line="420" w:lineRule="exact"/>
              <w:jc w:val="center"/>
              <w:rPr>
                <w:rFonts w:hint="eastAsia" w:ascii="Times New Roman" w:hAnsi="Times New Roman" w:eastAsia="仿宋_GB2312" w:cs="仿宋_GB2312"/>
                <w:kern w:val="0"/>
                <w:sz w:val="28"/>
                <w:szCs w:val="28"/>
              </w:rPr>
            </w:pPr>
            <w:r>
              <w:rPr>
                <w:rFonts w:hint="eastAsia" w:ascii="Times New Roman" w:hAnsi="Times New Roman" w:eastAsia="仿宋_GB2312" w:cs="仿宋_GB2312"/>
                <w:color w:val="000000"/>
                <w:kern w:val="0"/>
                <w:sz w:val="28"/>
                <w:szCs w:val="28"/>
              </w:rPr>
              <w:t>249.39</w:t>
            </w:r>
          </w:p>
        </w:tc>
        <w:tc>
          <w:tcPr>
            <w:tcW w:w="713" w:type="pct"/>
            <w:tcMar>
              <w:top w:w="12" w:type="dxa"/>
              <w:left w:w="108" w:type="dxa"/>
              <w:bottom w:w="0" w:type="dxa"/>
              <w:right w:w="108" w:type="dxa"/>
            </w:tcMar>
            <w:vAlign w:val="center"/>
          </w:tcPr>
          <w:p>
            <w:pPr>
              <w:widowControl/>
              <w:spacing w:line="420" w:lineRule="exact"/>
              <w:jc w:val="center"/>
              <w:rPr>
                <w:rFonts w:hint="eastAsia" w:ascii="Times New Roman" w:hAnsi="Times New Roman" w:eastAsia="仿宋_GB2312" w:cs="仿宋_GB2312"/>
                <w:color w:val="000000"/>
                <w:kern w:val="0"/>
                <w:sz w:val="28"/>
                <w:szCs w:val="28"/>
              </w:rPr>
            </w:pPr>
            <w:r>
              <w:rPr>
                <w:rFonts w:hint="eastAsia" w:ascii="Times New Roman" w:hAnsi="Times New Roman" w:eastAsia="仿宋_GB2312" w:cs="仿宋_GB2312"/>
                <w:color w:val="000000"/>
                <w:kern w:val="0"/>
                <w:sz w:val="28"/>
                <w:szCs w:val="28"/>
              </w:rPr>
              <w:t>预期性</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00" w:hRule="atLeast"/>
        </w:trPr>
        <w:tc>
          <w:tcPr>
            <w:tcW w:w="643" w:type="pct"/>
            <w:vMerge w:val="restart"/>
            <w:vAlign w:val="center"/>
          </w:tcPr>
          <w:p>
            <w:pPr>
              <w:widowControl/>
              <w:spacing w:line="420" w:lineRule="exact"/>
              <w:jc w:val="center"/>
              <w:rPr>
                <w:rFonts w:hint="eastAsia"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“十四五”新增指标</w:t>
            </w:r>
          </w:p>
        </w:tc>
        <w:tc>
          <w:tcPr>
            <w:tcW w:w="1714" w:type="pct"/>
            <w:vAlign w:val="center"/>
          </w:tcPr>
          <w:p>
            <w:pPr>
              <w:widowControl/>
              <w:spacing w:line="420" w:lineRule="exact"/>
              <w:jc w:val="left"/>
              <w:rPr>
                <w:rFonts w:hint="eastAsia" w:ascii="Times New Roman" w:hAnsi="Times New Roman" w:eastAsia="仿宋_GB2312" w:cs="仿宋_GB2312"/>
                <w:kern w:val="0"/>
                <w:sz w:val="28"/>
                <w:szCs w:val="28"/>
              </w:rPr>
            </w:pPr>
            <w:r>
              <w:rPr>
                <w:rFonts w:hint="eastAsia" w:ascii="Times New Roman" w:hAnsi="Times New Roman" w:eastAsia="仿宋_GB2312" w:cs="仿宋_GB2312"/>
                <w:color w:val="000000"/>
                <w:kern w:val="0"/>
                <w:sz w:val="28"/>
                <w:szCs w:val="28"/>
              </w:rPr>
              <w:t>水土保持率</w:t>
            </w:r>
            <w:r>
              <w:rPr>
                <w:rFonts w:hint="eastAsia" w:ascii="Times New Roman" w:hAnsi="Times New Roman" w:eastAsia="仿宋_GB2312" w:cs="仿宋_GB2312"/>
                <w:color w:val="000000"/>
                <w:sz w:val="28"/>
                <w:szCs w:val="28"/>
              </w:rPr>
              <w:t xml:space="preserve"> </w:t>
            </w:r>
          </w:p>
        </w:tc>
        <w:tc>
          <w:tcPr>
            <w:tcW w:w="703" w:type="pct"/>
            <w:vAlign w:val="center"/>
          </w:tcPr>
          <w:p>
            <w:pPr>
              <w:widowControl/>
              <w:spacing w:line="420" w:lineRule="exact"/>
              <w:jc w:val="center"/>
              <w:rPr>
                <w:rFonts w:hint="eastAsia" w:ascii="Times New Roman" w:hAnsi="Times New Roman" w:eastAsia="仿宋_GB2312" w:cs="仿宋_GB2312"/>
                <w:kern w:val="0"/>
                <w:sz w:val="28"/>
                <w:szCs w:val="28"/>
              </w:rPr>
            </w:pPr>
            <w:r>
              <w:rPr>
                <w:rFonts w:hint="eastAsia" w:ascii="Times New Roman" w:hAnsi="Times New Roman" w:eastAsia="仿宋_GB2312" w:cs="仿宋_GB2312"/>
                <w:color w:val="000000"/>
                <w:kern w:val="0"/>
                <w:sz w:val="28"/>
                <w:szCs w:val="28"/>
              </w:rPr>
              <w:t>— </w:t>
            </w:r>
            <w:r>
              <w:rPr>
                <w:rFonts w:hint="eastAsia" w:ascii="Times New Roman" w:hAnsi="Times New Roman" w:eastAsia="仿宋_GB2312" w:cs="仿宋_GB2312"/>
                <w:color w:val="000000"/>
                <w:sz w:val="28"/>
                <w:szCs w:val="28"/>
              </w:rPr>
              <w:t xml:space="preserve"> </w:t>
            </w:r>
          </w:p>
        </w:tc>
        <w:tc>
          <w:tcPr>
            <w:tcW w:w="750" w:type="pct"/>
            <w:tcMar>
              <w:top w:w="12" w:type="dxa"/>
              <w:left w:w="41" w:type="dxa"/>
              <w:bottom w:w="0" w:type="dxa"/>
              <w:right w:w="41" w:type="dxa"/>
            </w:tcMar>
            <w:vAlign w:val="center"/>
          </w:tcPr>
          <w:p>
            <w:pPr>
              <w:widowControl/>
              <w:spacing w:line="420" w:lineRule="exact"/>
              <w:jc w:val="center"/>
              <w:rPr>
                <w:rFonts w:hint="eastAsia"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44%</w:t>
            </w:r>
          </w:p>
        </w:tc>
        <w:tc>
          <w:tcPr>
            <w:tcW w:w="476" w:type="pct"/>
            <w:tcMar>
              <w:top w:w="12" w:type="dxa"/>
              <w:left w:w="108" w:type="dxa"/>
              <w:bottom w:w="0" w:type="dxa"/>
              <w:right w:w="108" w:type="dxa"/>
            </w:tcMar>
            <w:vAlign w:val="center"/>
          </w:tcPr>
          <w:p>
            <w:pPr>
              <w:widowControl/>
              <w:spacing w:line="420" w:lineRule="exact"/>
              <w:jc w:val="center"/>
              <w:rPr>
                <w:rFonts w:hint="eastAsia"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45%</w:t>
            </w:r>
          </w:p>
        </w:tc>
        <w:tc>
          <w:tcPr>
            <w:tcW w:w="713" w:type="pct"/>
            <w:tcMar>
              <w:top w:w="12" w:type="dxa"/>
              <w:left w:w="108" w:type="dxa"/>
              <w:bottom w:w="0" w:type="dxa"/>
              <w:right w:w="108" w:type="dxa"/>
            </w:tcMar>
            <w:vAlign w:val="center"/>
          </w:tcPr>
          <w:p>
            <w:pPr>
              <w:widowControl/>
              <w:spacing w:line="420" w:lineRule="exact"/>
              <w:jc w:val="center"/>
              <w:rPr>
                <w:rFonts w:hint="eastAsia" w:ascii="Times New Roman" w:hAnsi="Times New Roman" w:eastAsia="仿宋_GB2312" w:cs="仿宋_GB2312"/>
                <w:color w:val="000000"/>
                <w:kern w:val="0"/>
                <w:sz w:val="28"/>
                <w:szCs w:val="28"/>
              </w:rPr>
            </w:pPr>
            <w:r>
              <w:rPr>
                <w:rFonts w:hint="eastAsia" w:ascii="Times New Roman" w:hAnsi="Times New Roman" w:eastAsia="仿宋_GB2312" w:cs="仿宋_GB2312"/>
                <w:color w:val="000000"/>
                <w:kern w:val="0"/>
                <w:sz w:val="28"/>
                <w:szCs w:val="28"/>
              </w:rPr>
              <w:t>预期性</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36" w:hRule="atLeast"/>
        </w:trPr>
        <w:tc>
          <w:tcPr>
            <w:tcW w:w="643" w:type="pct"/>
            <w:vMerge w:val="continue"/>
            <w:vAlign w:val="center"/>
          </w:tcPr>
          <w:p>
            <w:pPr>
              <w:widowControl/>
              <w:spacing w:line="420" w:lineRule="exact"/>
              <w:jc w:val="left"/>
              <w:rPr>
                <w:rFonts w:hint="eastAsia" w:ascii="Times New Roman" w:hAnsi="Times New Roman" w:eastAsia="仿宋_GB2312" w:cs="仿宋_GB2312"/>
                <w:kern w:val="0"/>
                <w:sz w:val="28"/>
                <w:szCs w:val="28"/>
              </w:rPr>
            </w:pPr>
          </w:p>
        </w:tc>
        <w:tc>
          <w:tcPr>
            <w:tcW w:w="1714" w:type="pct"/>
            <w:vAlign w:val="center"/>
          </w:tcPr>
          <w:p>
            <w:pPr>
              <w:widowControl/>
              <w:spacing w:line="420" w:lineRule="exact"/>
              <w:jc w:val="left"/>
              <w:rPr>
                <w:rFonts w:hint="eastAsia" w:ascii="Times New Roman" w:hAnsi="Times New Roman" w:eastAsia="仿宋_GB2312" w:cs="仿宋_GB2312"/>
                <w:kern w:val="0"/>
                <w:sz w:val="28"/>
                <w:szCs w:val="28"/>
              </w:rPr>
            </w:pPr>
            <w:r>
              <w:rPr>
                <w:rFonts w:hint="eastAsia" w:ascii="Times New Roman" w:hAnsi="Times New Roman" w:eastAsia="仿宋_GB2312" w:cs="仿宋_GB2312"/>
                <w:color w:val="000000"/>
                <w:kern w:val="0"/>
                <w:sz w:val="28"/>
                <w:szCs w:val="28"/>
              </w:rPr>
              <w:t>重要河湖水域岸线监管率</w:t>
            </w:r>
            <w:r>
              <w:rPr>
                <w:rFonts w:hint="eastAsia" w:ascii="Times New Roman" w:hAnsi="Times New Roman" w:eastAsia="仿宋_GB2312" w:cs="仿宋_GB2312"/>
                <w:color w:val="000000"/>
                <w:sz w:val="28"/>
                <w:szCs w:val="28"/>
              </w:rPr>
              <w:t xml:space="preserve"> </w:t>
            </w:r>
          </w:p>
        </w:tc>
        <w:tc>
          <w:tcPr>
            <w:tcW w:w="703" w:type="pct"/>
            <w:vAlign w:val="center"/>
          </w:tcPr>
          <w:p>
            <w:pPr>
              <w:widowControl/>
              <w:spacing w:line="420" w:lineRule="exact"/>
              <w:jc w:val="center"/>
              <w:rPr>
                <w:rFonts w:hint="eastAsia" w:ascii="Times New Roman" w:hAnsi="Times New Roman" w:eastAsia="仿宋_GB2312" w:cs="仿宋_GB2312"/>
                <w:kern w:val="0"/>
                <w:sz w:val="28"/>
                <w:szCs w:val="28"/>
              </w:rPr>
            </w:pPr>
            <w:r>
              <w:rPr>
                <w:rFonts w:hint="eastAsia" w:ascii="Times New Roman" w:hAnsi="Times New Roman" w:eastAsia="仿宋_GB2312" w:cs="仿宋_GB2312"/>
                <w:color w:val="000000"/>
                <w:kern w:val="0"/>
                <w:sz w:val="28"/>
                <w:szCs w:val="28"/>
              </w:rPr>
              <w:t> —</w:t>
            </w:r>
            <w:r>
              <w:rPr>
                <w:rFonts w:hint="eastAsia" w:ascii="Times New Roman" w:hAnsi="Times New Roman" w:eastAsia="仿宋_GB2312" w:cs="仿宋_GB2312"/>
                <w:color w:val="000000"/>
                <w:sz w:val="28"/>
                <w:szCs w:val="28"/>
              </w:rPr>
              <w:t xml:space="preserve"> </w:t>
            </w:r>
          </w:p>
        </w:tc>
        <w:tc>
          <w:tcPr>
            <w:tcW w:w="750" w:type="pct"/>
            <w:tcMar>
              <w:top w:w="12" w:type="dxa"/>
              <w:left w:w="41" w:type="dxa"/>
              <w:bottom w:w="0" w:type="dxa"/>
              <w:right w:w="41" w:type="dxa"/>
            </w:tcMar>
            <w:vAlign w:val="center"/>
          </w:tcPr>
          <w:p>
            <w:pPr>
              <w:widowControl/>
              <w:spacing w:line="420" w:lineRule="exact"/>
              <w:jc w:val="center"/>
              <w:rPr>
                <w:rFonts w:hint="eastAsia"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w:t>
            </w:r>
          </w:p>
        </w:tc>
        <w:tc>
          <w:tcPr>
            <w:tcW w:w="476" w:type="pct"/>
            <w:tcMar>
              <w:top w:w="12" w:type="dxa"/>
              <w:left w:w="108" w:type="dxa"/>
              <w:bottom w:w="0" w:type="dxa"/>
              <w:right w:w="108" w:type="dxa"/>
            </w:tcMar>
            <w:vAlign w:val="center"/>
          </w:tcPr>
          <w:p>
            <w:pPr>
              <w:widowControl/>
              <w:spacing w:line="420" w:lineRule="exact"/>
              <w:jc w:val="center"/>
              <w:rPr>
                <w:rFonts w:hint="eastAsia"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60%</w:t>
            </w:r>
          </w:p>
        </w:tc>
        <w:tc>
          <w:tcPr>
            <w:tcW w:w="713" w:type="pct"/>
            <w:tcMar>
              <w:top w:w="12" w:type="dxa"/>
              <w:left w:w="108" w:type="dxa"/>
              <w:bottom w:w="0" w:type="dxa"/>
              <w:right w:w="108" w:type="dxa"/>
            </w:tcMar>
            <w:vAlign w:val="center"/>
          </w:tcPr>
          <w:p>
            <w:pPr>
              <w:widowControl/>
              <w:spacing w:line="420" w:lineRule="exact"/>
              <w:jc w:val="center"/>
              <w:rPr>
                <w:rFonts w:hint="eastAsia" w:ascii="Times New Roman" w:hAnsi="Times New Roman" w:eastAsia="仿宋_GB2312" w:cs="仿宋_GB2312"/>
                <w:color w:val="000000"/>
                <w:kern w:val="0"/>
                <w:sz w:val="28"/>
                <w:szCs w:val="28"/>
              </w:rPr>
            </w:pPr>
            <w:r>
              <w:rPr>
                <w:rFonts w:hint="eastAsia" w:ascii="Times New Roman" w:hAnsi="Times New Roman" w:eastAsia="仿宋_GB2312" w:cs="仿宋_GB2312"/>
                <w:color w:val="000000"/>
                <w:kern w:val="0"/>
                <w:sz w:val="28"/>
                <w:szCs w:val="28"/>
              </w:rPr>
              <w:t>约束性</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643" w:type="pct"/>
            <w:vMerge w:val="continue"/>
            <w:vAlign w:val="center"/>
          </w:tcPr>
          <w:p>
            <w:pPr>
              <w:widowControl/>
              <w:spacing w:line="420" w:lineRule="exact"/>
              <w:jc w:val="left"/>
              <w:rPr>
                <w:rFonts w:hint="eastAsia" w:ascii="Times New Roman" w:hAnsi="Times New Roman" w:eastAsia="仿宋_GB2312" w:cs="仿宋_GB2312"/>
                <w:kern w:val="0"/>
                <w:sz w:val="28"/>
                <w:szCs w:val="28"/>
              </w:rPr>
            </w:pPr>
          </w:p>
        </w:tc>
        <w:tc>
          <w:tcPr>
            <w:tcW w:w="1714" w:type="pct"/>
            <w:vAlign w:val="center"/>
          </w:tcPr>
          <w:p>
            <w:pPr>
              <w:widowControl/>
              <w:spacing w:line="420" w:lineRule="exact"/>
              <w:jc w:val="left"/>
              <w:rPr>
                <w:rFonts w:hint="eastAsia" w:ascii="Times New Roman" w:hAnsi="Times New Roman" w:eastAsia="仿宋_GB2312" w:cs="仿宋_GB2312"/>
                <w:kern w:val="0"/>
                <w:sz w:val="28"/>
                <w:szCs w:val="28"/>
              </w:rPr>
            </w:pPr>
            <w:r>
              <w:rPr>
                <w:rFonts w:hint="eastAsia" w:ascii="Times New Roman" w:hAnsi="Times New Roman" w:eastAsia="仿宋_GB2312" w:cs="仿宋_GB2312"/>
                <w:color w:val="000000"/>
                <w:kern w:val="0"/>
                <w:sz w:val="28"/>
                <w:szCs w:val="28"/>
              </w:rPr>
              <w:t>流域面积3000平方公里以上主要支流江河堤防达标率</w:t>
            </w:r>
            <w:r>
              <w:rPr>
                <w:rFonts w:hint="eastAsia" w:ascii="Times New Roman" w:hAnsi="Times New Roman" w:eastAsia="仿宋_GB2312" w:cs="仿宋_GB2312"/>
                <w:color w:val="000000"/>
                <w:sz w:val="28"/>
                <w:szCs w:val="28"/>
              </w:rPr>
              <w:t xml:space="preserve"> </w:t>
            </w:r>
          </w:p>
        </w:tc>
        <w:tc>
          <w:tcPr>
            <w:tcW w:w="703" w:type="pct"/>
            <w:vAlign w:val="center"/>
          </w:tcPr>
          <w:p>
            <w:pPr>
              <w:widowControl/>
              <w:spacing w:line="420" w:lineRule="exact"/>
              <w:jc w:val="center"/>
              <w:rPr>
                <w:rFonts w:hint="eastAsia" w:ascii="Times New Roman" w:hAnsi="Times New Roman" w:eastAsia="仿宋_GB2312" w:cs="仿宋_GB2312"/>
                <w:kern w:val="0"/>
                <w:sz w:val="28"/>
                <w:szCs w:val="28"/>
              </w:rPr>
            </w:pPr>
            <w:r>
              <w:rPr>
                <w:rFonts w:hint="eastAsia" w:ascii="Times New Roman" w:hAnsi="Times New Roman" w:eastAsia="仿宋_GB2312" w:cs="仿宋_GB2312"/>
                <w:color w:val="000000"/>
                <w:kern w:val="0"/>
                <w:sz w:val="28"/>
                <w:szCs w:val="28"/>
              </w:rPr>
              <w:t> —</w:t>
            </w:r>
            <w:r>
              <w:rPr>
                <w:rFonts w:hint="eastAsia" w:ascii="Times New Roman" w:hAnsi="Times New Roman" w:eastAsia="仿宋_GB2312" w:cs="仿宋_GB2312"/>
                <w:color w:val="000000"/>
                <w:sz w:val="28"/>
                <w:szCs w:val="28"/>
              </w:rPr>
              <w:t xml:space="preserve"> </w:t>
            </w:r>
          </w:p>
        </w:tc>
        <w:tc>
          <w:tcPr>
            <w:tcW w:w="750" w:type="pct"/>
            <w:tcMar>
              <w:top w:w="12" w:type="dxa"/>
              <w:left w:w="41" w:type="dxa"/>
              <w:bottom w:w="0" w:type="dxa"/>
              <w:right w:w="41" w:type="dxa"/>
            </w:tcMar>
            <w:vAlign w:val="center"/>
          </w:tcPr>
          <w:p>
            <w:pPr>
              <w:widowControl/>
              <w:spacing w:line="420" w:lineRule="exact"/>
              <w:jc w:val="center"/>
              <w:rPr>
                <w:rFonts w:hint="eastAsia"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w:t>
            </w:r>
          </w:p>
        </w:tc>
        <w:tc>
          <w:tcPr>
            <w:tcW w:w="476" w:type="pct"/>
            <w:tcMar>
              <w:top w:w="12" w:type="dxa"/>
              <w:left w:w="108" w:type="dxa"/>
              <w:bottom w:w="0" w:type="dxa"/>
              <w:right w:w="108" w:type="dxa"/>
            </w:tcMar>
            <w:vAlign w:val="center"/>
          </w:tcPr>
          <w:p>
            <w:pPr>
              <w:widowControl/>
              <w:spacing w:line="420" w:lineRule="exact"/>
              <w:jc w:val="center"/>
              <w:rPr>
                <w:rFonts w:hint="eastAsia"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72%</w:t>
            </w:r>
          </w:p>
        </w:tc>
        <w:tc>
          <w:tcPr>
            <w:tcW w:w="713" w:type="pct"/>
            <w:tcMar>
              <w:top w:w="12" w:type="dxa"/>
              <w:left w:w="108" w:type="dxa"/>
              <w:bottom w:w="0" w:type="dxa"/>
              <w:right w:w="108" w:type="dxa"/>
            </w:tcMar>
            <w:vAlign w:val="center"/>
          </w:tcPr>
          <w:p>
            <w:pPr>
              <w:widowControl/>
              <w:spacing w:line="420" w:lineRule="exact"/>
              <w:jc w:val="center"/>
              <w:rPr>
                <w:rFonts w:hint="eastAsia" w:ascii="Times New Roman" w:hAnsi="Times New Roman" w:eastAsia="仿宋_GB2312" w:cs="仿宋_GB2312"/>
                <w:color w:val="000000"/>
                <w:kern w:val="0"/>
                <w:sz w:val="28"/>
                <w:szCs w:val="28"/>
              </w:rPr>
            </w:pPr>
            <w:r>
              <w:rPr>
                <w:rFonts w:hint="eastAsia" w:ascii="Times New Roman" w:hAnsi="Times New Roman" w:eastAsia="仿宋_GB2312" w:cs="仿宋_GB2312"/>
                <w:color w:val="000000"/>
                <w:kern w:val="0"/>
                <w:sz w:val="28"/>
                <w:szCs w:val="28"/>
              </w:rPr>
              <w:t>预期性</w:t>
            </w:r>
          </w:p>
        </w:tc>
      </w:tr>
    </w:tbl>
    <w:p>
      <w:pPr>
        <w:spacing w:line="530" w:lineRule="exact"/>
        <w:ind w:firstLine="640" w:firstLineChars="200"/>
        <w:rPr>
          <w:rFonts w:hint="eastAsia" w:ascii="Times New Roman" w:hAnsi="Times New Roman" w:eastAsia="黑体"/>
          <w:sz w:val="32"/>
          <w:szCs w:val="32"/>
        </w:rPr>
      </w:pPr>
      <w:r>
        <w:rPr>
          <w:rFonts w:hint="eastAsia" w:ascii="Times New Roman" w:hAnsi="Times New Roman" w:eastAsia="黑体"/>
          <w:sz w:val="32"/>
          <w:szCs w:val="32"/>
        </w:rPr>
        <w:t>三、补齐基础设施短板</w:t>
      </w:r>
    </w:p>
    <w:p>
      <w:pPr>
        <w:spacing w:line="53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坚持创新在水利现代化建设全局中的核心地位，结合通辽市水资源空间、时间分布不均现状，为推动我市经济高质量发展，补齐水利工程短板。共涉及50个工程项目，“十四五”期间投资117.64亿元。</w:t>
      </w:r>
    </w:p>
    <w:p>
      <w:pPr>
        <w:spacing w:line="530" w:lineRule="exact"/>
        <w:ind w:firstLine="640" w:firstLineChars="200"/>
        <w:rPr>
          <w:rFonts w:hint="eastAsia" w:ascii="Times New Roman" w:hAnsi="Times New Roman" w:eastAsia="楷体_GB2312"/>
          <w:sz w:val="32"/>
          <w:szCs w:val="32"/>
        </w:rPr>
      </w:pPr>
      <w:r>
        <w:rPr>
          <w:rFonts w:hint="eastAsia" w:ascii="Times New Roman" w:hAnsi="Times New Roman" w:eastAsia="楷体_GB2312"/>
          <w:sz w:val="32"/>
          <w:szCs w:val="32"/>
        </w:rPr>
        <w:t>（一）保障供水安全</w:t>
      </w:r>
    </w:p>
    <w:p>
      <w:pPr>
        <w:spacing w:line="53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1. 全面建设节水型社会</w:t>
      </w:r>
    </w:p>
    <w:p>
      <w:pPr>
        <w:spacing w:line="53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“十四五”期间，水资源管理总的控制目标是：2025年全市用水总量控制在26.81亿立方米，2025年农田灌溉水有效利用系数提高到0.69，万元工业增加值用水量比2020年下降13.5%，万元GDP用水量比2020年下降20 %。</w:t>
      </w:r>
    </w:p>
    <w:p>
      <w:pPr>
        <w:spacing w:line="53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2025年通辽市用水总量控制指标作为“十四五”期间经济社会发展用水需求、水资源开发利用的刚性约束，为不能突破的红线指标。“十四五”规划按照以水定产、以供定需，合理确定全市产业结构及产业布局，优化配置水资源，确保用水总量不突破26.81亿立方米。“十四五”期间，要全面落实最严格水资源管理制度，强化用水总量控制、用水效率控制、水功能区限制纳污“三条红线”的先导作用和刚性约束。严控“三条红线”，树立底线思维，强化水资源刚性约束，以水定产、以水定城、量水而行、因水制宜。严格控制高耗水项目建设，对取用水总量已达到或超过控制指标的地区实施取水区域限批。</w:t>
      </w:r>
    </w:p>
    <w:p>
      <w:pPr>
        <w:spacing w:line="53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水资源的配置是在水资源及其开发利用调查评价基础上，根据生态环境建设和国民经济发展要求进行需水预测；分析现状用水水平，进行节水潜力估算，确定节水目标，拟定节水方案进行节水规划；在供水预测和供需分析后进行水资源的配置。水资源配置是指在流域或特定的区域范围内，遵循高效、公平和可持续的原则，通过各种工程措施与非工程措施，按照市场经济的规律和资源配置准则，通过合理抑制需求、有效增加供水、积极保护生态环境等手段和措施，对多种可利用水源在区域间和各用水部门间进行的调配。</w:t>
      </w:r>
    </w:p>
    <w:p>
      <w:pPr>
        <w:spacing w:line="53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按照水资源配置原则和思路，“十四五”期间，水资源配置优先满足生活需水，在确保良好生态环境（水资源十分短缺的地区要保证生态环境不再恶化）的基础上，尽可能满足生产需水，生产需水优先按照保证率进行水量分配。在水源配置上，优先利用再生水等非常规水源，充分利用地表水，合理使用地下水，做到优水优用。（水资源配置详见表3-1）</w:t>
      </w:r>
    </w:p>
    <w:p>
      <w:pPr>
        <w:spacing w:line="300" w:lineRule="exact"/>
        <w:ind w:firstLine="640" w:firstLineChars="200"/>
        <w:rPr>
          <w:rFonts w:hint="eastAsia" w:ascii="Times New Roman" w:hAnsi="Times New Roman" w:eastAsia="仿宋_GB2312"/>
          <w:sz w:val="32"/>
          <w:szCs w:val="32"/>
        </w:rPr>
      </w:pPr>
    </w:p>
    <w:p>
      <w:pPr>
        <w:spacing w:line="520" w:lineRule="exact"/>
        <w:jc w:val="center"/>
        <w:rPr>
          <w:rFonts w:hint="eastAsia" w:ascii="Times New Roman" w:hAnsi="Times New Roman" w:eastAsia="黑体" w:cs="仿宋_GB2312"/>
          <w:sz w:val="32"/>
          <w:szCs w:val="32"/>
          <w:lang w:val="zh-TW"/>
        </w:rPr>
      </w:pPr>
      <w:r>
        <w:rPr>
          <w:rFonts w:hint="eastAsia" w:ascii="Times New Roman" w:hAnsi="Times New Roman" w:eastAsia="黑体" w:cs="仿宋_GB2312"/>
          <w:sz w:val="32"/>
          <w:szCs w:val="32"/>
          <w:lang w:val="zh-TW"/>
        </w:rPr>
        <w:t>表</w:t>
      </w:r>
      <w:r>
        <w:rPr>
          <w:rFonts w:hint="eastAsia" w:ascii="Times New Roman" w:hAnsi="Times New Roman" w:eastAsia="黑体" w:cs="仿宋_GB2312"/>
          <w:sz w:val="32"/>
          <w:szCs w:val="32"/>
        </w:rPr>
        <w:t>3</w:t>
      </w:r>
      <w:r>
        <w:rPr>
          <w:rFonts w:hint="eastAsia" w:ascii="Times New Roman" w:hAnsi="Times New Roman" w:eastAsia="黑体" w:cs="仿宋_GB2312"/>
          <w:sz w:val="32"/>
          <w:szCs w:val="32"/>
          <w:lang w:val="zh-TW"/>
        </w:rPr>
        <w:t>-1</w:t>
      </w:r>
      <w:r>
        <w:rPr>
          <w:rFonts w:hint="eastAsia" w:ascii="Times New Roman" w:hAnsi="Times New Roman" w:eastAsia="黑体" w:cs="仿宋_GB2312"/>
          <w:sz w:val="32"/>
          <w:szCs w:val="32"/>
        </w:rPr>
        <w:t xml:space="preserve">  </w:t>
      </w:r>
      <w:r>
        <w:rPr>
          <w:rFonts w:hint="eastAsia" w:ascii="Times New Roman" w:hAnsi="Times New Roman" w:eastAsia="黑体" w:cs="仿宋_GB2312"/>
          <w:sz w:val="32"/>
          <w:szCs w:val="32"/>
          <w:lang w:val="zh-TW"/>
        </w:rPr>
        <w:t>通辽市“十四五”水安全保障规划水资源配置</w:t>
      </w:r>
    </w:p>
    <w:p>
      <w:pPr>
        <w:spacing w:line="540" w:lineRule="exact"/>
        <w:jc w:val="right"/>
        <w:rPr>
          <w:rFonts w:hint="eastAsia" w:ascii="楷体_GB2312" w:hAnsi="Times New Roman" w:eastAsia="楷体_GB2312" w:cs="仿宋_GB2312"/>
          <w:sz w:val="32"/>
          <w:szCs w:val="32"/>
          <w:lang w:val="zh-TW"/>
        </w:rPr>
      </w:pPr>
      <w:r>
        <w:rPr>
          <w:rFonts w:hint="eastAsia" w:ascii="楷体_GB2312" w:hAnsi="Times New Roman" w:eastAsia="楷体_GB2312" w:cs="仿宋_GB2312"/>
          <w:sz w:val="32"/>
          <w:szCs w:val="32"/>
          <w:lang w:val="zh-TW"/>
        </w:rPr>
        <w:t>单位:亿立方米</w:t>
      </w:r>
    </w:p>
    <w:tbl>
      <w:tblPr>
        <w:tblStyle w:val="8"/>
        <w:tblW w:w="517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1"/>
        <w:gridCol w:w="1703"/>
        <w:gridCol w:w="2125"/>
        <w:gridCol w:w="1277"/>
        <w:gridCol w:w="1277"/>
        <w:gridCol w:w="1275"/>
        <w:gridCol w:w="11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exact"/>
          <w:jc w:val="center"/>
        </w:trPr>
        <w:tc>
          <w:tcPr>
            <w:tcW w:w="1186" w:type="pct"/>
            <w:gridSpan w:val="2"/>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黑体" w:hAnsi="黑体" w:eastAsia="黑体"/>
                <w:bCs/>
                <w:color w:val="000000"/>
                <w:kern w:val="0"/>
                <w:sz w:val="28"/>
                <w:szCs w:val="28"/>
              </w:rPr>
            </w:pPr>
            <w:r>
              <w:rPr>
                <w:rFonts w:ascii="黑体" w:hAnsi="黑体" w:eastAsia="黑体"/>
                <w:bCs/>
                <w:color w:val="000000"/>
                <w:kern w:val="0"/>
                <w:sz w:val="28"/>
                <w:szCs w:val="28"/>
              </w:rPr>
              <w:t>水源配置</w:t>
            </w:r>
          </w:p>
        </w:tc>
        <w:tc>
          <w:tcPr>
            <w:tcW w:w="1133" w:type="pc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黑体" w:hAnsi="黑体" w:eastAsia="黑体"/>
                <w:bCs/>
                <w:color w:val="000000"/>
                <w:kern w:val="0"/>
                <w:sz w:val="28"/>
                <w:szCs w:val="28"/>
              </w:rPr>
            </w:pPr>
            <w:r>
              <w:rPr>
                <w:rFonts w:ascii="黑体" w:hAnsi="黑体" w:eastAsia="黑体"/>
                <w:bCs/>
                <w:color w:val="000000"/>
                <w:kern w:val="0"/>
                <w:sz w:val="28"/>
                <w:szCs w:val="28"/>
              </w:rPr>
              <w:t>生活用水</w:t>
            </w:r>
          </w:p>
          <w:p>
            <w:pPr>
              <w:widowControl/>
              <w:spacing w:line="320" w:lineRule="exact"/>
              <w:jc w:val="center"/>
              <w:rPr>
                <w:rFonts w:ascii="黑体" w:hAnsi="黑体" w:eastAsia="黑体"/>
                <w:bCs/>
                <w:color w:val="000000"/>
                <w:kern w:val="0"/>
                <w:sz w:val="28"/>
                <w:szCs w:val="28"/>
              </w:rPr>
            </w:pPr>
            <w:r>
              <w:rPr>
                <w:rFonts w:hint="eastAsia" w:ascii="黑体" w:hAnsi="黑体" w:eastAsia="黑体"/>
                <w:bCs/>
                <w:color w:val="000000"/>
                <w:kern w:val="0"/>
                <w:sz w:val="28"/>
                <w:szCs w:val="28"/>
              </w:rPr>
              <w:t>（含建筑业和服务业）</w:t>
            </w:r>
          </w:p>
        </w:tc>
        <w:tc>
          <w:tcPr>
            <w:tcW w:w="681" w:type="pct"/>
            <w:tcBorders>
              <w:top w:val="single" w:color="auto" w:sz="4" w:space="0"/>
              <w:left w:val="single" w:color="auto" w:sz="4" w:space="0"/>
              <w:right w:val="single" w:color="auto" w:sz="4" w:space="0"/>
            </w:tcBorders>
            <w:vAlign w:val="center"/>
          </w:tcPr>
          <w:p>
            <w:pPr>
              <w:widowControl/>
              <w:spacing w:line="320" w:lineRule="exact"/>
              <w:jc w:val="center"/>
              <w:rPr>
                <w:rFonts w:hint="eastAsia" w:ascii="黑体" w:hAnsi="黑体" w:eastAsia="黑体"/>
                <w:bCs/>
                <w:color w:val="000000"/>
                <w:kern w:val="0"/>
                <w:sz w:val="28"/>
                <w:szCs w:val="28"/>
              </w:rPr>
            </w:pPr>
            <w:r>
              <w:rPr>
                <w:rFonts w:hint="eastAsia" w:ascii="黑体" w:hAnsi="黑体" w:eastAsia="黑体"/>
                <w:bCs/>
                <w:color w:val="000000"/>
                <w:kern w:val="0"/>
                <w:sz w:val="28"/>
                <w:szCs w:val="28"/>
              </w:rPr>
              <w:t>农业</w:t>
            </w:r>
          </w:p>
          <w:p>
            <w:pPr>
              <w:widowControl/>
              <w:spacing w:line="320" w:lineRule="exact"/>
              <w:jc w:val="center"/>
              <w:rPr>
                <w:rFonts w:ascii="黑体" w:hAnsi="黑体" w:eastAsia="黑体"/>
                <w:bCs/>
                <w:color w:val="000000"/>
                <w:kern w:val="0"/>
                <w:sz w:val="28"/>
                <w:szCs w:val="28"/>
              </w:rPr>
            </w:pPr>
            <w:r>
              <w:rPr>
                <w:rFonts w:ascii="黑体" w:hAnsi="黑体" w:eastAsia="黑体"/>
                <w:bCs/>
                <w:color w:val="000000"/>
                <w:kern w:val="0"/>
                <w:sz w:val="28"/>
                <w:szCs w:val="28"/>
              </w:rPr>
              <w:t>用水</w:t>
            </w:r>
          </w:p>
        </w:tc>
        <w:tc>
          <w:tcPr>
            <w:tcW w:w="681" w:type="pct"/>
            <w:tcBorders>
              <w:top w:val="single" w:color="auto" w:sz="4" w:space="0"/>
              <w:left w:val="single" w:color="auto" w:sz="4" w:space="0"/>
              <w:right w:val="single" w:color="auto" w:sz="4" w:space="0"/>
            </w:tcBorders>
            <w:vAlign w:val="center"/>
          </w:tcPr>
          <w:p>
            <w:pPr>
              <w:widowControl/>
              <w:spacing w:line="320" w:lineRule="exact"/>
              <w:jc w:val="center"/>
              <w:rPr>
                <w:rFonts w:hint="eastAsia" w:ascii="黑体" w:hAnsi="黑体" w:eastAsia="黑体"/>
                <w:bCs/>
                <w:color w:val="000000"/>
                <w:kern w:val="0"/>
                <w:sz w:val="28"/>
                <w:szCs w:val="28"/>
              </w:rPr>
            </w:pPr>
            <w:r>
              <w:rPr>
                <w:rFonts w:hint="eastAsia" w:ascii="黑体" w:hAnsi="黑体" w:eastAsia="黑体"/>
                <w:bCs/>
                <w:color w:val="000000"/>
                <w:kern w:val="0"/>
                <w:sz w:val="28"/>
                <w:szCs w:val="28"/>
              </w:rPr>
              <w:t>工业</w:t>
            </w:r>
          </w:p>
          <w:p>
            <w:pPr>
              <w:widowControl/>
              <w:spacing w:line="320" w:lineRule="exact"/>
              <w:jc w:val="center"/>
              <w:rPr>
                <w:rFonts w:ascii="黑体" w:hAnsi="黑体" w:eastAsia="黑体"/>
                <w:bCs/>
                <w:color w:val="000000"/>
                <w:kern w:val="0"/>
                <w:sz w:val="28"/>
                <w:szCs w:val="28"/>
              </w:rPr>
            </w:pPr>
            <w:r>
              <w:rPr>
                <w:rFonts w:ascii="黑体" w:hAnsi="黑体" w:eastAsia="黑体"/>
                <w:bCs/>
                <w:color w:val="000000"/>
                <w:kern w:val="0"/>
                <w:sz w:val="28"/>
                <w:szCs w:val="28"/>
              </w:rPr>
              <w:t>用水</w:t>
            </w:r>
          </w:p>
        </w:tc>
        <w:tc>
          <w:tcPr>
            <w:tcW w:w="680" w:type="pc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hint="eastAsia" w:ascii="黑体" w:hAnsi="黑体" w:eastAsia="黑体"/>
                <w:bCs/>
                <w:color w:val="000000"/>
                <w:kern w:val="0"/>
                <w:sz w:val="28"/>
                <w:szCs w:val="28"/>
              </w:rPr>
            </w:pPr>
            <w:r>
              <w:rPr>
                <w:rFonts w:ascii="黑体" w:hAnsi="黑体" w:eastAsia="黑体"/>
                <w:bCs/>
                <w:color w:val="000000"/>
                <w:kern w:val="0"/>
                <w:sz w:val="28"/>
                <w:szCs w:val="28"/>
              </w:rPr>
              <w:t>生态</w:t>
            </w:r>
          </w:p>
          <w:p>
            <w:pPr>
              <w:widowControl/>
              <w:spacing w:line="320" w:lineRule="exact"/>
              <w:jc w:val="center"/>
              <w:rPr>
                <w:rFonts w:ascii="黑体" w:hAnsi="黑体" w:eastAsia="黑体"/>
                <w:bCs/>
                <w:color w:val="000000"/>
                <w:kern w:val="0"/>
                <w:sz w:val="28"/>
                <w:szCs w:val="28"/>
              </w:rPr>
            </w:pPr>
            <w:r>
              <w:rPr>
                <w:rFonts w:ascii="黑体" w:hAnsi="黑体" w:eastAsia="黑体"/>
                <w:bCs/>
                <w:color w:val="000000"/>
                <w:kern w:val="0"/>
                <w:sz w:val="28"/>
                <w:szCs w:val="28"/>
              </w:rPr>
              <w:t>用水</w:t>
            </w:r>
          </w:p>
        </w:tc>
        <w:tc>
          <w:tcPr>
            <w:tcW w:w="639" w:type="pc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黑体" w:hAnsi="黑体" w:eastAsia="黑体"/>
                <w:bCs/>
                <w:color w:val="000000"/>
                <w:kern w:val="0"/>
                <w:sz w:val="28"/>
                <w:szCs w:val="28"/>
              </w:rPr>
            </w:pPr>
            <w:r>
              <w:rPr>
                <w:rFonts w:ascii="黑体" w:hAnsi="黑体" w:eastAsia="黑体"/>
                <w:bCs/>
                <w:color w:val="000000"/>
                <w:kern w:val="0"/>
                <w:sz w:val="28"/>
                <w:szCs w:val="2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186" w:type="pct"/>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仿宋_GB2312" w:eastAsia="仿宋_GB2312"/>
                <w:bCs/>
                <w:color w:val="000000"/>
                <w:kern w:val="0"/>
                <w:sz w:val="28"/>
                <w:szCs w:val="28"/>
              </w:rPr>
            </w:pPr>
            <w:r>
              <w:rPr>
                <w:rFonts w:hint="eastAsia" w:ascii="仿宋_GB2312" w:hAnsi="Times New Roman" w:eastAsia="仿宋_GB2312"/>
                <w:bCs/>
                <w:color w:val="000000"/>
                <w:kern w:val="0"/>
                <w:sz w:val="28"/>
                <w:szCs w:val="28"/>
              </w:rPr>
              <w:t>再生水</w:t>
            </w:r>
          </w:p>
        </w:tc>
        <w:tc>
          <w:tcPr>
            <w:tcW w:w="1133"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bCs/>
                <w:sz w:val="28"/>
                <w:szCs w:val="28"/>
              </w:rPr>
            </w:pPr>
          </w:p>
        </w:tc>
        <w:tc>
          <w:tcPr>
            <w:tcW w:w="681"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bCs/>
                <w:color w:val="FF0000"/>
                <w:sz w:val="28"/>
                <w:szCs w:val="28"/>
              </w:rPr>
            </w:pPr>
          </w:p>
        </w:tc>
        <w:tc>
          <w:tcPr>
            <w:tcW w:w="681"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bCs/>
                <w:color w:val="FF0000"/>
                <w:sz w:val="28"/>
                <w:szCs w:val="28"/>
              </w:rPr>
            </w:pPr>
            <w:r>
              <w:rPr>
                <w:rFonts w:ascii="Times New Roman" w:hAnsi="Times New Roman"/>
                <w:bCs/>
                <w:sz w:val="28"/>
                <w:szCs w:val="28"/>
              </w:rPr>
              <w:t>0.</w:t>
            </w:r>
            <w:r>
              <w:rPr>
                <w:rFonts w:hint="eastAsia" w:ascii="Times New Roman" w:hAnsi="Times New Roman"/>
                <w:bCs/>
                <w:sz w:val="28"/>
                <w:szCs w:val="28"/>
              </w:rPr>
              <w:t>50</w:t>
            </w:r>
          </w:p>
        </w:tc>
        <w:tc>
          <w:tcPr>
            <w:tcW w:w="680"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bCs/>
                <w:sz w:val="28"/>
                <w:szCs w:val="28"/>
              </w:rPr>
            </w:pPr>
            <w:r>
              <w:rPr>
                <w:rFonts w:ascii="Times New Roman" w:hAnsi="Times New Roman"/>
                <w:bCs/>
                <w:sz w:val="28"/>
                <w:szCs w:val="28"/>
              </w:rPr>
              <w:t>0.</w:t>
            </w:r>
            <w:r>
              <w:rPr>
                <w:rFonts w:hint="eastAsia" w:ascii="Times New Roman" w:hAnsi="Times New Roman"/>
                <w:bCs/>
                <w:sz w:val="28"/>
                <w:szCs w:val="28"/>
              </w:rPr>
              <w:t>17</w:t>
            </w:r>
          </w:p>
        </w:tc>
        <w:tc>
          <w:tcPr>
            <w:tcW w:w="639"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bCs/>
                <w:sz w:val="28"/>
                <w:szCs w:val="28"/>
              </w:rPr>
            </w:pPr>
            <w:r>
              <w:rPr>
                <w:rFonts w:ascii="Times New Roman" w:hAnsi="Times New Roman"/>
                <w:bCs/>
                <w:sz w:val="28"/>
                <w:szCs w:val="28"/>
              </w:rPr>
              <w:t>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78" w:type="pct"/>
            <w:vMerge w:val="restart"/>
            <w:tcBorders>
              <w:top w:val="single" w:color="auto" w:sz="4" w:space="0"/>
              <w:left w:val="single" w:color="auto" w:sz="4" w:space="0"/>
              <w:right w:val="single" w:color="auto" w:sz="4" w:space="0"/>
            </w:tcBorders>
            <w:vAlign w:val="center"/>
          </w:tcPr>
          <w:p>
            <w:pPr>
              <w:widowControl/>
              <w:spacing w:line="400" w:lineRule="exact"/>
              <w:jc w:val="center"/>
              <w:rPr>
                <w:rFonts w:hint="eastAsia" w:ascii="仿宋_GB2312" w:eastAsia="仿宋_GB2312"/>
                <w:bCs/>
                <w:color w:val="000000"/>
                <w:kern w:val="0"/>
                <w:sz w:val="28"/>
                <w:szCs w:val="28"/>
              </w:rPr>
            </w:pPr>
            <w:r>
              <w:rPr>
                <w:rFonts w:hint="eastAsia" w:ascii="仿宋_GB2312" w:hAnsi="Times New Roman" w:eastAsia="仿宋_GB2312"/>
                <w:bCs/>
                <w:color w:val="000000"/>
                <w:kern w:val="0"/>
                <w:sz w:val="28"/>
                <w:szCs w:val="28"/>
              </w:rPr>
              <w:t>地表水</w:t>
            </w:r>
          </w:p>
        </w:tc>
        <w:tc>
          <w:tcPr>
            <w:tcW w:w="908" w:type="pc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仿宋_GB2312" w:eastAsia="仿宋_GB2312"/>
                <w:bCs/>
                <w:color w:val="000000"/>
                <w:kern w:val="0"/>
                <w:sz w:val="28"/>
                <w:szCs w:val="28"/>
              </w:rPr>
            </w:pPr>
            <w:r>
              <w:rPr>
                <w:rFonts w:hint="eastAsia" w:ascii="仿宋_GB2312" w:hAnsi="Times New Roman" w:eastAsia="仿宋_GB2312"/>
                <w:bCs/>
                <w:color w:val="000000"/>
                <w:kern w:val="0"/>
                <w:sz w:val="28"/>
                <w:szCs w:val="28"/>
              </w:rPr>
              <w:t>水量</w:t>
            </w:r>
          </w:p>
        </w:tc>
        <w:tc>
          <w:tcPr>
            <w:tcW w:w="1133"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bCs/>
                <w:sz w:val="28"/>
                <w:szCs w:val="28"/>
              </w:rPr>
            </w:pPr>
            <w:r>
              <w:rPr>
                <w:rFonts w:hint="eastAsia" w:ascii="Times New Roman" w:hAnsi="Times New Roman"/>
                <w:bCs/>
                <w:sz w:val="28"/>
                <w:szCs w:val="28"/>
              </w:rPr>
              <w:t>0.20</w:t>
            </w:r>
          </w:p>
        </w:tc>
        <w:tc>
          <w:tcPr>
            <w:tcW w:w="681"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bCs/>
                <w:sz w:val="28"/>
                <w:szCs w:val="28"/>
              </w:rPr>
            </w:pPr>
            <w:r>
              <w:rPr>
                <w:rFonts w:ascii="Times New Roman" w:hAnsi="Times New Roman"/>
                <w:bCs/>
                <w:sz w:val="28"/>
                <w:szCs w:val="28"/>
              </w:rPr>
              <w:t>0.</w:t>
            </w:r>
            <w:r>
              <w:rPr>
                <w:rFonts w:hint="eastAsia" w:ascii="Times New Roman" w:hAnsi="Times New Roman"/>
                <w:bCs/>
                <w:sz w:val="28"/>
                <w:szCs w:val="28"/>
              </w:rPr>
              <w:t>38</w:t>
            </w:r>
          </w:p>
        </w:tc>
        <w:tc>
          <w:tcPr>
            <w:tcW w:w="681"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bCs/>
                <w:color w:val="FF0000"/>
                <w:sz w:val="28"/>
                <w:szCs w:val="28"/>
              </w:rPr>
            </w:pPr>
            <w:r>
              <w:rPr>
                <w:rFonts w:ascii="Times New Roman" w:hAnsi="Times New Roman"/>
                <w:bCs/>
                <w:sz w:val="28"/>
                <w:szCs w:val="28"/>
              </w:rPr>
              <w:t>0.</w:t>
            </w:r>
            <w:r>
              <w:rPr>
                <w:rFonts w:hint="eastAsia" w:ascii="Times New Roman" w:hAnsi="Times New Roman"/>
                <w:bCs/>
                <w:sz w:val="28"/>
                <w:szCs w:val="28"/>
              </w:rPr>
              <w:t>77</w:t>
            </w:r>
          </w:p>
        </w:tc>
        <w:tc>
          <w:tcPr>
            <w:tcW w:w="680"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bCs/>
                <w:sz w:val="28"/>
                <w:szCs w:val="28"/>
              </w:rPr>
            </w:pPr>
            <w:r>
              <w:rPr>
                <w:rFonts w:ascii="Times New Roman" w:hAnsi="Times New Roman"/>
                <w:bCs/>
                <w:sz w:val="28"/>
                <w:szCs w:val="28"/>
              </w:rPr>
              <w:t>0.</w:t>
            </w:r>
            <w:r>
              <w:rPr>
                <w:rFonts w:hint="eastAsia" w:ascii="Times New Roman" w:hAnsi="Times New Roman"/>
                <w:bCs/>
                <w:sz w:val="28"/>
                <w:szCs w:val="28"/>
              </w:rPr>
              <w:t>39</w:t>
            </w:r>
          </w:p>
        </w:tc>
        <w:tc>
          <w:tcPr>
            <w:tcW w:w="639"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bCs/>
                <w:sz w:val="28"/>
                <w:szCs w:val="28"/>
              </w:rPr>
            </w:pPr>
            <w:r>
              <w:rPr>
                <w:rFonts w:ascii="Times New Roman" w:hAnsi="Times New Roman"/>
                <w:bCs/>
                <w:sz w:val="28"/>
                <w:szCs w:val="28"/>
              </w:rPr>
              <w:t>1.</w:t>
            </w:r>
            <w:r>
              <w:rPr>
                <w:rFonts w:hint="eastAsia" w:ascii="Times New Roman" w:hAnsi="Times New Roman"/>
                <w:bCs/>
                <w:sz w:val="28"/>
                <w:szCs w:val="28"/>
              </w:rPr>
              <w:t>7</w:t>
            </w:r>
            <w:r>
              <w:rPr>
                <w:rFonts w:ascii="Times New Roman" w:hAnsi="Times New Roman"/>
                <w:bCs/>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78" w:type="pct"/>
            <w:vMerge w:val="continue"/>
            <w:tcBorders>
              <w:left w:val="single" w:color="auto" w:sz="4" w:space="0"/>
              <w:bottom w:val="single" w:color="auto" w:sz="4" w:space="0"/>
              <w:right w:val="single" w:color="auto" w:sz="4" w:space="0"/>
            </w:tcBorders>
            <w:vAlign w:val="center"/>
          </w:tcPr>
          <w:p>
            <w:pPr>
              <w:widowControl/>
              <w:spacing w:line="400" w:lineRule="exact"/>
              <w:jc w:val="center"/>
              <w:rPr>
                <w:rFonts w:hint="eastAsia" w:ascii="仿宋_GB2312" w:eastAsia="仿宋_GB2312"/>
                <w:bCs/>
                <w:color w:val="000000"/>
                <w:kern w:val="0"/>
                <w:sz w:val="28"/>
                <w:szCs w:val="28"/>
              </w:rPr>
            </w:pPr>
          </w:p>
        </w:tc>
        <w:tc>
          <w:tcPr>
            <w:tcW w:w="908" w:type="pc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仿宋_GB2312" w:eastAsia="仿宋_GB2312"/>
                <w:bCs/>
                <w:kern w:val="0"/>
                <w:sz w:val="28"/>
                <w:szCs w:val="28"/>
              </w:rPr>
            </w:pPr>
            <w:r>
              <w:rPr>
                <w:rFonts w:hint="eastAsia" w:ascii="仿宋_GB2312" w:hAnsi="Times New Roman" w:eastAsia="仿宋_GB2312"/>
                <w:bCs/>
                <w:kern w:val="0"/>
                <w:sz w:val="28"/>
                <w:szCs w:val="28"/>
              </w:rPr>
              <w:t>其中外调水</w:t>
            </w:r>
          </w:p>
        </w:tc>
        <w:tc>
          <w:tcPr>
            <w:tcW w:w="1133"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bCs/>
                <w:sz w:val="28"/>
                <w:szCs w:val="28"/>
              </w:rPr>
            </w:pPr>
            <w:r>
              <w:rPr>
                <w:rFonts w:hint="eastAsia" w:ascii="Times New Roman" w:hAnsi="Times New Roman"/>
                <w:bCs/>
                <w:sz w:val="28"/>
                <w:szCs w:val="28"/>
              </w:rPr>
              <w:t>0.20</w:t>
            </w:r>
          </w:p>
        </w:tc>
        <w:tc>
          <w:tcPr>
            <w:tcW w:w="681"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bCs/>
                <w:sz w:val="28"/>
                <w:szCs w:val="28"/>
              </w:rPr>
            </w:pPr>
          </w:p>
        </w:tc>
        <w:tc>
          <w:tcPr>
            <w:tcW w:w="681"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bCs/>
                <w:sz w:val="28"/>
                <w:szCs w:val="28"/>
              </w:rPr>
            </w:pPr>
            <w:r>
              <w:rPr>
                <w:rFonts w:hint="eastAsia" w:ascii="Times New Roman" w:hAnsi="Times New Roman"/>
                <w:bCs/>
                <w:sz w:val="28"/>
                <w:szCs w:val="28"/>
              </w:rPr>
              <w:t>0.50</w:t>
            </w:r>
          </w:p>
        </w:tc>
        <w:tc>
          <w:tcPr>
            <w:tcW w:w="680"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bCs/>
                <w:sz w:val="28"/>
                <w:szCs w:val="28"/>
              </w:rPr>
            </w:pPr>
          </w:p>
        </w:tc>
        <w:tc>
          <w:tcPr>
            <w:tcW w:w="639"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bCs/>
                <w:sz w:val="28"/>
                <w:szCs w:val="28"/>
              </w:rPr>
            </w:pPr>
            <w:r>
              <w:rPr>
                <w:rFonts w:hint="eastAsia" w:ascii="Times New Roman" w:hAnsi="Times New Roman"/>
                <w:bCs/>
                <w:sz w:val="28"/>
                <w:szCs w:val="28"/>
              </w:rPr>
              <w:t>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278" w:type="pct"/>
            <w:vMerge w:val="restart"/>
            <w:tcBorders>
              <w:top w:val="single" w:color="auto" w:sz="4" w:space="0"/>
              <w:left w:val="single" w:color="auto" w:sz="4" w:space="0"/>
              <w:right w:val="single" w:color="auto" w:sz="4" w:space="0"/>
            </w:tcBorders>
            <w:vAlign w:val="center"/>
          </w:tcPr>
          <w:p>
            <w:pPr>
              <w:widowControl/>
              <w:spacing w:line="400" w:lineRule="exact"/>
              <w:jc w:val="center"/>
              <w:rPr>
                <w:rFonts w:hint="eastAsia" w:ascii="仿宋_GB2312" w:eastAsia="仿宋_GB2312"/>
                <w:bCs/>
                <w:color w:val="000000"/>
                <w:kern w:val="0"/>
                <w:sz w:val="28"/>
                <w:szCs w:val="28"/>
              </w:rPr>
            </w:pPr>
            <w:r>
              <w:rPr>
                <w:rFonts w:hint="eastAsia" w:ascii="仿宋_GB2312" w:hAnsi="Times New Roman" w:eastAsia="仿宋_GB2312"/>
                <w:bCs/>
                <w:color w:val="000000"/>
                <w:kern w:val="0"/>
                <w:sz w:val="28"/>
                <w:szCs w:val="28"/>
              </w:rPr>
              <w:t>地下水</w:t>
            </w:r>
          </w:p>
        </w:tc>
        <w:tc>
          <w:tcPr>
            <w:tcW w:w="908" w:type="pc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仿宋_GB2312" w:eastAsia="仿宋_GB2312"/>
                <w:bCs/>
                <w:color w:val="000000"/>
                <w:kern w:val="0"/>
                <w:sz w:val="28"/>
                <w:szCs w:val="28"/>
              </w:rPr>
            </w:pPr>
            <w:r>
              <w:rPr>
                <w:rFonts w:hint="eastAsia" w:ascii="仿宋_GB2312" w:hAnsi="Times New Roman" w:eastAsia="仿宋_GB2312"/>
                <w:bCs/>
                <w:color w:val="000000"/>
                <w:kern w:val="0"/>
                <w:sz w:val="28"/>
                <w:szCs w:val="28"/>
              </w:rPr>
              <w:t>水量</w:t>
            </w:r>
          </w:p>
        </w:tc>
        <w:tc>
          <w:tcPr>
            <w:tcW w:w="1133"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bCs/>
                <w:sz w:val="28"/>
                <w:szCs w:val="28"/>
              </w:rPr>
            </w:pPr>
            <w:r>
              <w:rPr>
                <w:rFonts w:hint="eastAsia" w:ascii="Times New Roman" w:hAnsi="Times New Roman"/>
                <w:bCs/>
                <w:sz w:val="28"/>
                <w:szCs w:val="28"/>
              </w:rPr>
              <w:t>1.25</w:t>
            </w:r>
          </w:p>
        </w:tc>
        <w:tc>
          <w:tcPr>
            <w:tcW w:w="681"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bCs/>
                <w:sz w:val="28"/>
                <w:szCs w:val="28"/>
              </w:rPr>
            </w:pPr>
            <w:r>
              <w:rPr>
                <w:rFonts w:hint="eastAsia" w:ascii="Times New Roman" w:hAnsi="Times New Roman"/>
                <w:bCs/>
                <w:sz w:val="28"/>
                <w:szCs w:val="28"/>
              </w:rPr>
              <w:t>22.99</w:t>
            </w:r>
          </w:p>
        </w:tc>
        <w:tc>
          <w:tcPr>
            <w:tcW w:w="681"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bCs/>
                <w:color w:val="FF0000"/>
                <w:sz w:val="28"/>
                <w:szCs w:val="28"/>
              </w:rPr>
            </w:pPr>
            <w:r>
              <w:rPr>
                <w:rFonts w:ascii="Times New Roman" w:hAnsi="Times New Roman"/>
                <w:bCs/>
                <w:sz w:val="28"/>
                <w:szCs w:val="28"/>
              </w:rPr>
              <w:t>0.</w:t>
            </w:r>
            <w:r>
              <w:rPr>
                <w:rFonts w:hint="eastAsia" w:ascii="Times New Roman" w:hAnsi="Times New Roman"/>
                <w:bCs/>
                <w:sz w:val="28"/>
                <w:szCs w:val="28"/>
              </w:rPr>
              <w:t>15</w:t>
            </w:r>
          </w:p>
        </w:tc>
        <w:tc>
          <w:tcPr>
            <w:tcW w:w="680"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bCs/>
                <w:sz w:val="28"/>
                <w:szCs w:val="28"/>
              </w:rPr>
            </w:pPr>
          </w:p>
        </w:tc>
        <w:tc>
          <w:tcPr>
            <w:tcW w:w="639"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bCs/>
                <w:sz w:val="28"/>
                <w:szCs w:val="28"/>
              </w:rPr>
            </w:pPr>
            <w:r>
              <w:rPr>
                <w:rFonts w:ascii="Times New Roman" w:hAnsi="Times New Roman"/>
                <w:bCs/>
                <w:sz w:val="28"/>
                <w:szCs w:val="28"/>
              </w:rPr>
              <w:t>24.39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278" w:type="pct"/>
            <w:vMerge w:val="continue"/>
            <w:tcBorders>
              <w:left w:val="single" w:color="auto" w:sz="4" w:space="0"/>
              <w:bottom w:val="single" w:color="auto" w:sz="4" w:space="0"/>
              <w:right w:val="single" w:color="auto" w:sz="4" w:space="0"/>
            </w:tcBorders>
            <w:vAlign w:val="center"/>
          </w:tcPr>
          <w:p>
            <w:pPr>
              <w:widowControl/>
              <w:spacing w:line="400" w:lineRule="exact"/>
              <w:jc w:val="center"/>
              <w:rPr>
                <w:rFonts w:hint="eastAsia" w:ascii="仿宋_GB2312" w:eastAsia="仿宋_GB2312"/>
                <w:bCs/>
                <w:color w:val="000000"/>
                <w:kern w:val="0"/>
                <w:sz w:val="28"/>
                <w:szCs w:val="28"/>
              </w:rPr>
            </w:pPr>
          </w:p>
        </w:tc>
        <w:tc>
          <w:tcPr>
            <w:tcW w:w="908" w:type="pc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仿宋_GB2312" w:eastAsia="仿宋_GB2312"/>
                <w:bCs/>
                <w:color w:val="000000"/>
                <w:kern w:val="0"/>
                <w:sz w:val="28"/>
                <w:szCs w:val="28"/>
              </w:rPr>
            </w:pPr>
            <w:r>
              <w:rPr>
                <w:rFonts w:hint="eastAsia" w:ascii="仿宋_GB2312" w:hAnsi="Times New Roman" w:eastAsia="仿宋_GB2312"/>
                <w:bCs/>
                <w:color w:val="000000"/>
                <w:kern w:val="0"/>
                <w:sz w:val="28"/>
                <w:szCs w:val="28"/>
              </w:rPr>
              <w:t>其中疏干水</w:t>
            </w:r>
          </w:p>
        </w:tc>
        <w:tc>
          <w:tcPr>
            <w:tcW w:w="1133"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bCs/>
                <w:sz w:val="28"/>
                <w:szCs w:val="28"/>
              </w:rPr>
            </w:pPr>
          </w:p>
        </w:tc>
        <w:tc>
          <w:tcPr>
            <w:tcW w:w="681"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bCs/>
                <w:sz w:val="28"/>
                <w:szCs w:val="28"/>
              </w:rPr>
            </w:pPr>
          </w:p>
        </w:tc>
        <w:tc>
          <w:tcPr>
            <w:tcW w:w="681"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bCs/>
                <w:sz w:val="28"/>
                <w:szCs w:val="28"/>
              </w:rPr>
            </w:pPr>
            <w:r>
              <w:rPr>
                <w:rFonts w:hint="eastAsia" w:ascii="Times New Roman" w:hAnsi="Times New Roman"/>
                <w:bCs/>
                <w:sz w:val="28"/>
                <w:szCs w:val="28"/>
              </w:rPr>
              <w:t>0.07</w:t>
            </w:r>
          </w:p>
        </w:tc>
        <w:tc>
          <w:tcPr>
            <w:tcW w:w="680"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bCs/>
                <w:sz w:val="28"/>
                <w:szCs w:val="28"/>
              </w:rPr>
            </w:pPr>
          </w:p>
        </w:tc>
        <w:tc>
          <w:tcPr>
            <w:tcW w:w="639"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bCs/>
                <w:sz w:val="28"/>
                <w:szCs w:val="28"/>
              </w:rPr>
            </w:pPr>
            <w:r>
              <w:rPr>
                <w:rFonts w:hint="eastAsia" w:ascii="Times New Roman" w:hAnsi="Times New Roman"/>
                <w:bCs/>
                <w:sz w:val="28"/>
                <w:szCs w:val="28"/>
              </w:rPr>
              <w:t>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86" w:type="pct"/>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仿宋_GB2312" w:eastAsia="仿宋_GB2312"/>
                <w:b/>
                <w:color w:val="000000"/>
                <w:kern w:val="0"/>
                <w:sz w:val="28"/>
                <w:szCs w:val="28"/>
              </w:rPr>
            </w:pPr>
            <w:r>
              <w:rPr>
                <w:rFonts w:hint="eastAsia" w:ascii="仿宋_GB2312" w:hAnsi="Times New Roman" w:eastAsia="仿宋_GB2312"/>
                <w:b/>
                <w:color w:val="000000"/>
                <w:kern w:val="0"/>
                <w:sz w:val="28"/>
                <w:szCs w:val="28"/>
              </w:rPr>
              <w:t>合计</w:t>
            </w:r>
          </w:p>
        </w:tc>
        <w:tc>
          <w:tcPr>
            <w:tcW w:w="1133"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bCs/>
                <w:sz w:val="28"/>
                <w:szCs w:val="28"/>
              </w:rPr>
            </w:pPr>
            <w:r>
              <w:rPr>
                <w:rFonts w:hint="eastAsia" w:ascii="Times New Roman" w:hAnsi="Times New Roman"/>
                <w:bCs/>
                <w:sz w:val="28"/>
                <w:szCs w:val="28"/>
              </w:rPr>
              <w:t>1.45</w:t>
            </w:r>
          </w:p>
        </w:tc>
        <w:tc>
          <w:tcPr>
            <w:tcW w:w="681"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bCs/>
                <w:sz w:val="28"/>
                <w:szCs w:val="28"/>
              </w:rPr>
            </w:pPr>
            <w:r>
              <w:rPr>
                <w:rFonts w:hint="eastAsia" w:ascii="Times New Roman" w:hAnsi="Times New Roman"/>
                <w:bCs/>
                <w:sz w:val="28"/>
                <w:szCs w:val="28"/>
              </w:rPr>
              <w:t>23.37</w:t>
            </w:r>
          </w:p>
        </w:tc>
        <w:tc>
          <w:tcPr>
            <w:tcW w:w="681"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bCs/>
                <w:color w:val="FF0000"/>
                <w:sz w:val="28"/>
                <w:szCs w:val="28"/>
              </w:rPr>
            </w:pPr>
            <w:r>
              <w:rPr>
                <w:rFonts w:hint="eastAsia" w:ascii="Times New Roman" w:hAnsi="Times New Roman"/>
                <w:bCs/>
                <w:sz w:val="28"/>
                <w:szCs w:val="28"/>
              </w:rPr>
              <w:t>1.42</w:t>
            </w:r>
          </w:p>
        </w:tc>
        <w:tc>
          <w:tcPr>
            <w:tcW w:w="680"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bCs/>
                <w:sz w:val="28"/>
                <w:szCs w:val="28"/>
              </w:rPr>
            </w:pPr>
            <w:r>
              <w:rPr>
                <w:rFonts w:hint="eastAsia" w:ascii="Times New Roman" w:hAnsi="Times New Roman"/>
                <w:bCs/>
                <w:sz w:val="28"/>
                <w:szCs w:val="28"/>
              </w:rPr>
              <w:t>0.56</w:t>
            </w:r>
          </w:p>
        </w:tc>
        <w:tc>
          <w:tcPr>
            <w:tcW w:w="639" w:type="pct"/>
            <w:tcBorders>
              <w:top w:val="single" w:color="auto" w:sz="4" w:space="0"/>
              <w:left w:val="single" w:color="auto" w:sz="4" w:space="0"/>
              <w:bottom w:val="single" w:color="auto" w:sz="4" w:space="0"/>
              <w:right w:val="single" w:color="auto" w:sz="4" w:space="0"/>
            </w:tcBorders>
            <w:vAlign w:val="center"/>
          </w:tcPr>
          <w:p>
            <w:pPr>
              <w:spacing w:line="400" w:lineRule="exact"/>
              <w:jc w:val="center"/>
              <w:rPr>
                <w:bCs/>
                <w:sz w:val="28"/>
                <w:szCs w:val="28"/>
              </w:rPr>
            </w:pPr>
            <w:r>
              <w:rPr>
                <w:rFonts w:ascii="Times New Roman" w:hAnsi="Times New Roman"/>
                <w:bCs/>
                <w:sz w:val="28"/>
                <w:szCs w:val="28"/>
              </w:rPr>
              <w:t>26.81</w:t>
            </w:r>
          </w:p>
        </w:tc>
      </w:tr>
    </w:tbl>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地下水水位管控考核主要以国控井、区控井及地方监测井的监测数据为依据，考核年份水位控制红线不得低于前三年水位平均值。若连续三年干旱年或连续三年丰水年，根据自治区调整的水位管控考核指标；地下水超采区与地下水重要水源地的水位控制按照《水利部关于明确内蒙古西辽河流域水资源管控目标的函》（水资管函〔2020〕26号）的指标来控制。</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2. 水源地和引调水工程建设</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按照确有需要、生态安全、可以持续的要求，集中力量建设一批重大供水工程，提高水资源保障能力，促进区域协调发展，带动有效投资需求，推动经济平稳增长。</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（1）新建水源工程</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在地表水资源相对丰富的南北部山区新建扎鲁特旗乌兰哈达水库、库伦旗嘎海山水库2座中型水库。</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（2）引调水工程</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十四五”期间，构建北水南调、东西互济的水资源配置工程，加快完成“引绰济辽”二期工程及毛道水库输水管线工程建设，加快推进“LXB调水内蒙古支线”工程建设；加快“引嫩济锡”前期工作。通过以上工程，全面提高水资源调配能力，保障国家能源产业基地用水需求。</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（3）农村饮水安全巩固提升工程</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按照乡村振兴梯次推进的总体部署和水利部的工作要求，积极推进农村牧区供水工程规模化建设和升级改造。“十四五”期间水务部门将重点规划新建和改造规模化工程，合理确定农村牧区饮水安全巩固提升目标任务，通过改造、配套、联网等措施，进一步提高农村牧区供水保证率、水质达标率和工程运行管理水平。“十四五”期间预计解决25.6642万人饮水安全，总投资3.814亿元，自来水普及率达到86%以上。</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一是通过建设和改造规模化工程，进一步推进乡村振兴，城乡结合地区，通过城市管网延伸提升城乡一体化水平。二是建设改造一批规范化小型集中供水工程，进一步扩大小型集中供水工程规模的同时，提高集中供水水平及规范化水平。三是更新改造一批老旧供水工程管网，本着“尽力而为、量力而行”的原则，从而提升供水保障能力。</w:t>
      </w:r>
    </w:p>
    <w:p>
      <w:pPr>
        <w:spacing w:line="560" w:lineRule="exact"/>
        <w:ind w:firstLine="640" w:firstLineChars="200"/>
        <w:rPr>
          <w:rFonts w:hint="eastAsia" w:ascii="Times New Roman" w:hAnsi="Times New Roman" w:eastAsia="仿宋_GB2312"/>
          <w:sz w:val="32"/>
          <w:szCs w:val="32"/>
        </w:rPr>
      </w:pPr>
    </w:p>
    <w:p>
      <w:pPr>
        <w:spacing w:line="540" w:lineRule="exact"/>
        <w:jc w:val="center"/>
        <w:rPr>
          <w:rFonts w:hint="eastAsia" w:ascii="Times New Roman" w:hAnsi="Times New Roman" w:eastAsia="黑体" w:cs="仿宋_GB2312"/>
          <w:sz w:val="32"/>
          <w:szCs w:val="32"/>
          <w:lang w:val="zh-TW"/>
        </w:rPr>
      </w:pPr>
      <w:r>
        <w:rPr>
          <w:rFonts w:hint="eastAsia" w:ascii="Times New Roman" w:hAnsi="Times New Roman" w:eastAsia="黑体" w:cs="仿宋_GB2312"/>
          <w:sz w:val="32"/>
          <w:szCs w:val="32"/>
          <w:lang w:val="zh-TW"/>
        </w:rPr>
        <w:t>表</w:t>
      </w:r>
      <w:r>
        <w:rPr>
          <w:rFonts w:hint="eastAsia" w:ascii="Times New Roman" w:hAnsi="Times New Roman" w:eastAsia="黑体" w:cs="仿宋_GB2312"/>
          <w:sz w:val="32"/>
          <w:szCs w:val="32"/>
        </w:rPr>
        <w:t>3</w:t>
      </w:r>
      <w:r>
        <w:rPr>
          <w:rFonts w:hint="eastAsia" w:ascii="Times New Roman" w:hAnsi="Times New Roman" w:eastAsia="黑体" w:cs="仿宋_GB2312"/>
          <w:sz w:val="32"/>
          <w:szCs w:val="32"/>
          <w:lang w:val="zh-TW"/>
        </w:rPr>
        <w:t>-2  “十四五”规划新建水源工程项目统计表</w:t>
      </w:r>
    </w:p>
    <w:tbl>
      <w:tblPr>
        <w:tblStyle w:val="8"/>
        <w:tblW w:w="5242" w:type="pct"/>
        <w:tblInd w:w="-176" w:type="dxa"/>
        <w:tblLayout w:type="fixed"/>
        <w:tblCellMar>
          <w:top w:w="0" w:type="dxa"/>
          <w:left w:w="108" w:type="dxa"/>
          <w:bottom w:w="0" w:type="dxa"/>
          <w:right w:w="108" w:type="dxa"/>
        </w:tblCellMar>
      </w:tblPr>
      <w:tblGrid>
        <w:gridCol w:w="565"/>
        <w:gridCol w:w="994"/>
        <w:gridCol w:w="994"/>
        <w:gridCol w:w="994"/>
        <w:gridCol w:w="815"/>
        <w:gridCol w:w="3923"/>
        <w:gridCol w:w="1214"/>
      </w:tblGrid>
      <w:tr>
        <w:tblPrEx>
          <w:tblCellMar>
            <w:top w:w="0" w:type="dxa"/>
            <w:left w:w="108" w:type="dxa"/>
            <w:bottom w:w="0" w:type="dxa"/>
            <w:right w:w="108" w:type="dxa"/>
          </w:tblCellMar>
        </w:tblPrEx>
        <w:trPr>
          <w:trHeight w:val="540" w:hRule="atLeast"/>
        </w:trPr>
        <w:tc>
          <w:tcPr>
            <w:tcW w:w="298" w:type="pct"/>
            <w:vMerge w:val="restart"/>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ascii="黑体" w:hAnsi="黑体" w:eastAsia="黑体" w:cs="宋体"/>
                <w:bCs/>
                <w:color w:val="000000"/>
                <w:kern w:val="0"/>
                <w:sz w:val="28"/>
                <w:szCs w:val="28"/>
              </w:rPr>
            </w:pPr>
            <w:r>
              <w:rPr>
                <w:rFonts w:hint="eastAsia" w:ascii="黑体" w:hAnsi="黑体" w:eastAsia="黑体" w:cs="宋体"/>
                <w:bCs/>
                <w:color w:val="000000"/>
                <w:kern w:val="0"/>
                <w:sz w:val="28"/>
                <w:szCs w:val="28"/>
              </w:rPr>
              <w:t>序号</w:t>
            </w:r>
          </w:p>
        </w:tc>
        <w:tc>
          <w:tcPr>
            <w:tcW w:w="523" w:type="pct"/>
            <w:vMerge w:val="restart"/>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黑体" w:hAnsi="黑体" w:eastAsia="黑体" w:cs="宋体"/>
                <w:bCs/>
                <w:kern w:val="0"/>
                <w:sz w:val="28"/>
                <w:szCs w:val="28"/>
              </w:rPr>
            </w:pPr>
            <w:r>
              <w:rPr>
                <w:rFonts w:hint="eastAsia" w:ascii="黑体" w:hAnsi="黑体" w:eastAsia="黑体" w:cs="宋体"/>
                <w:bCs/>
                <w:kern w:val="0"/>
                <w:sz w:val="28"/>
                <w:szCs w:val="28"/>
              </w:rPr>
              <w:t>项目名称</w:t>
            </w:r>
          </w:p>
        </w:tc>
        <w:tc>
          <w:tcPr>
            <w:tcW w:w="523" w:type="pct"/>
            <w:vMerge w:val="restart"/>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黑体" w:hAnsi="黑体" w:eastAsia="黑体" w:cs="宋体"/>
                <w:bCs/>
                <w:kern w:val="0"/>
                <w:sz w:val="28"/>
                <w:szCs w:val="28"/>
              </w:rPr>
            </w:pPr>
            <w:r>
              <w:rPr>
                <w:rFonts w:hint="eastAsia" w:ascii="黑体" w:hAnsi="黑体" w:eastAsia="黑体" w:cs="宋体"/>
                <w:bCs/>
                <w:kern w:val="0"/>
                <w:sz w:val="28"/>
                <w:szCs w:val="28"/>
              </w:rPr>
              <w:t>类别</w:t>
            </w:r>
          </w:p>
        </w:tc>
        <w:tc>
          <w:tcPr>
            <w:tcW w:w="523" w:type="pct"/>
            <w:vMerge w:val="restart"/>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ascii="黑体" w:hAnsi="黑体" w:eastAsia="黑体" w:cs="宋体"/>
                <w:bCs/>
                <w:kern w:val="0"/>
                <w:sz w:val="28"/>
                <w:szCs w:val="28"/>
              </w:rPr>
            </w:pPr>
            <w:r>
              <w:rPr>
                <w:rFonts w:hint="eastAsia" w:ascii="黑体" w:hAnsi="黑体" w:eastAsia="黑体" w:cs="宋体"/>
                <w:bCs/>
                <w:kern w:val="0"/>
                <w:sz w:val="28"/>
                <w:szCs w:val="28"/>
              </w:rPr>
              <w:t>建设</w:t>
            </w:r>
          </w:p>
          <w:p>
            <w:pPr>
              <w:widowControl/>
              <w:spacing w:line="280" w:lineRule="exact"/>
              <w:jc w:val="center"/>
              <w:rPr>
                <w:rFonts w:ascii="黑体" w:hAnsi="黑体" w:eastAsia="黑体" w:cs="宋体"/>
                <w:bCs/>
                <w:kern w:val="0"/>
                <w:sz w:val="28"/>
                <w:szCs w:val="28"/>
              </w:rPr>
            </w:pPr>
            <w:r>
              <w:rPr>
                <w:rFonts w:hint="eastAsia" w:ascii="黑体" w:hAnsi="黑体" w:eastAsia="黑体" w:cs="宋体"/>
                <w:bCs/>
                <w:kern w:val="0"/>
                <w:sz w:val="28"/>
                <w:szCs w:val="28"/>
              </w:rPr>
              <w:t>性质</w:t>
            </w:r>
          </w:p>
        </w:tc>
        <w:tc>
          <w:tcPr>
            <w:tcW w:w="429" w:type="pct"/>
            <w:vMerge w:val="restart"/>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黑体" w:hAnsi="黑体" w:eastAsia="黑体" w:cs="宋体"/>
                <w:bCs/>
                <w:kern w:val="0"/>
                <w:sz w:val="28"/>
                <w:szCs w:val="28"/>
              </w:rPr>
            </w:pPr>
            <w:r>
              <w:rPr>
                <w:rFonts w:hint="eastAsia" w:ascii="黑体" w:hAnsi="黑体" w:eastAsia="黑体" w:cs="宋体"/>
                <w:bCs/>
                <w:kern w:val="0"/>
                <w:sz w:val="28"/>
                <w:szCs w:val="28"/>
              </w:rPr>
              <w:t>前期工作情况</w:t>
            </w:r>
          </w:p>
        </w:tc>
        <w:tc>
          <w:tcPr>
            <w:tcW w:w="2065" w:type="pct"/>
            <w:vMerge w:val="restart"/>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黑体" w:hAnsi="黑体" w:eastAsia="黑体" w:cs="宋体"/>
                <w:bCs/>
                <w:kern w:val="0"/>
                <w:sz w:val="28"/>
                <w:szCs w:val="28"/>
              </w:rPr>
            </w:pPr>
            <w:r>
              <w:rPr>
                <w:rFonts w:hint="eastAsia" w:ascii="黑体" w:hAnsi="黑体" w:eastAsia="黑体" w:cs="宋体"/>
                <w:bCs/>
                <w:kern w:val="0"/>
                <w:sz w:val="28"/>
                <w:szCs w:val="28"/>
              </w:rPr>
              <w:t>工程规模/数量</w:t>
            </w:r>
          </w:p>
        </w:tc>
        <w:tc>
          <w:tcPr>
            <w:tcW w:w="641" w:type="pct"/>
            <w:vMerge w:val="restart"/>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rPr>
                <w:rFonts w:ascii="黑体" w:hAnsi="黑体" w:eastAsia="黑体" w:cs="宋体"/>
                <w:bCs/>
                <w:kern w:val="0"/>
                <w:sz w:val="28"/>
                <w:szCs w:val="28"/>
              </w:rPr>
            </w:pPr>
            <w:r>
              <w:rPr>
                <w:rFonts w:hint="eastAsia" w:ascii="黑体" w:hAnsi="黑体" w:eastAsia="黑体" w:cs="宋体"/>
                <w:bCs/>
                <w:kern w:val="0"/>
                <w:sz w:val="28"/>
                <w:szCs w:val="28"/>
              </w:rPr>
              <w:t>十四五投资（亿元）</w:t>
            </w:r>
          </w:p>
        </w:tc>
      </w:tr>
      <w:tr>
        <w:tblPrEx>
          <w:tblCellMar>
            <w:top w:w="0" w:type="dxa"/>
            <w:left w:w="108" w:type="dxa"/>
            <w:bottom w:w="0" w:type="dxa"/>
            <w:right w:w="108" w:type="dxa"/>
          </w:tblCellMar>
        </w:tblPrEx>
        <w:trPr>
          <w:trHeight w:val="540" w:hRule="atLeast"/>
        </w:trPr>
        <w:tc>
          <w:tcPr>
            <w:tcW w:w="29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Times New Roman" w:hAnsi="Times New Roman" w:eastAsia="仿宋_GB2312" w:cs="宋体"/>
                <w:bCs/>
                <w:color w:val="000000"/>
                <w:kern w:val="0"/>
                <w:sz w:val="28"/>
                <w:szCs w:val="28"/>
              </w:rPr>
            </w:pPr>
          </w:p>
        </w:tc>
        <w:tc>
          <w:tcPr>
            <w:tcW w:w="523"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Times New Roman" w:hAnsi="Times New Roman" w:eastAsia="仿宋_GB2312" w:cs="宋体"/>
                <w:bCs/>
                <w:kern w:val="0"/>
                <w:sz w:val="28"/>
                <w:szCs w:val="28"/>
              </w:rPr>
            </w:pPr>
          </w:p>
        </w:tc>
        <w:tc>
          <w:tcPr>
            <w:tcW w:w="523"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Times New Roman" w:hAnsi="Times New Roman" w:eastAsia="仿宋_GB2312" w:cs="宋体"/>
                <w:bCs/>
                <w:kern w:val="0"/>
                <w:sz w:val="28"/>
                <w:szCs w:val="28"/>
              </w:rPr>
            </w:pPr>
          </w:p>
        </w:tc>
        <w:tc>
          <w:tcPr>
            <w:tcW w:w="523"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Times New Roman" w:hAnsi="Times New Roman" w:eastAsia="仿宋_GB2312" w:cs="宋体"/>
                <w:bCs/>
                <w:kern w:val="0"/>
                <w:sz w:val="28"/>
                <w:szCs w:val="28"/>
              </w:rPr>
            </w:pPr>
          </w:p>
        </w:tc>
        <w:tc>
          <w:tcPr>
            <w:tcW w:w="429"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Times New Roman" w:hAnsi="Times New Roman" w:eastAsia="仿宋_GB2312" w:cs="宋体"/>
                <w:bCs/>
                <w:kern w:val="0"/>
                <w:sz w:val="28"/>
                <w:szCs w:val="28"/>
              </w:rPr>
            </w:pPr>
          </w:p>
        </w:tc>
        <w:tc>
          <w:tcPr>
            <w:tcW w:w="206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Times New Roman" w:hAnsi="Times New Roman" w:eastAsia="仿宋_GB2312" w:cs="宋体"/>
                <w:bCs/>
                <w:kern w:val="0"/>
                <w:sz w:val="28"/>
                <w:szCs w:val="28"/>
              </w:rPr>
            </w:pPr>
          </w:p>
        </w:tc>
        <w:tc>
          <w:tcPr>
            <w:tcW w:w="64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540" w:lineRule="exact"/>
              <w:jc w:val="left"/>
              <w:rPr>
                <w:rFonts w:ascii="Times New Roman" w:hAnsi="Times New Roman" w:eastAsia="仿宋_GB2312" w:cs="宋体"/>
                <w:bCs/>
                <w:kern w:val="0"/>
                <w:sz w:val="28"/>
                <w:szCs w:val="28"/>
              </w:rPr>
            </w:pPr>
          </w:p>
        </w:tc>
      </w:tr>
      <w:tr>
        <w:tblPrEx>
          <w:tblCellMar>
            <w:top w:w="0" w:type="dxa"/>
            <w:left w:w="108" w:type="dxa"/>
            <w:bottom w:w="0" w:type="dxa"/>
            <w:right w:w="108" w:type="dxa"/>
          </w:tblCellMar>
        </w:tblPrEx>
        <w:trPr>
          <w:trHeight w:val="999" w:hRule="atLeast"/>
        </w:trPr>
        <w:tc>
          <w:tcPr>
            <w:tcW w:w="298" w:type="pct"/>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1</w:t>
            </w:r>
          </w:p>
        </w:tc>
        <w:tc>
          <w:tcPr>
            <w:tcW w:w="523" w:type="pct"/>
            <w:tcBorders>
              <w:top w:val="nil"/>
              <w:left w:val="nil"/>
              <w:bottom w:val="single" w:color="auto" w:sz="4" w:space="0"/>
              <w:right w:val="single" w:color="auto" w:sz="4" w:space="0"/>
            </w:tcBorders>
            <w:vAlign w:val="center"/>
          </w:tcPr>
          <w:p>
            <w:pPr>
              <w:widowControl/>
              <w:spacing w:line="280" w:lineRule="exact"/>
              <w:rPr>
                <w:rFonts w:ascii="Times New Roman" w:hAnsi="Times New Roman" w:eastAsia="仿宋_GB2312" w:cs="宋体"/>
                <w:bCs/>
                <w:kern w:val="0"/>
                <w:sz w:val="28"/>
                <w:szCs w:val="28"/>
              </w:rPr>
            </w:pPr>
            <w:r>
              <w:rPr>
                <w:rFonts w:hint="eastAsia" w:ascii="宋体" w:hAnsi="宋体" w:cs="宋体"/>
                <w:bCs/>
                <w:kern w:val="0"/>
                <w:sz w:val="28"/>
                <w:szCs w:val="28"/>
              </w:rPr>
              <w:t>嘠</w:t>
            </w:r>
            <w:r>
              <w:rPr>
                <w:rFonts w:hint="eastAsia" w:ascii="Times New Roman" w:hAnsi="Times New Roman" w:eastAsia="仿宋_GB2312" w:cs="宋体"/>
                <w:bCs/>
                <w:kern w:val="0"/>
                <w:sz w:val="28"/>
                <w:szCs w:val="28"/>
              </w:rPr>
              <w:t>海山水库</w:t>
            </w:r>
          </w:p>
        </w:tc>
        <w:tc>
          <w:tcPr>
            <w:tcW w:w="523" w:type="pct"/>
            <w:tcBorders>
              <w:top w:val="nil"/>
              <w:left w:val="nil"/>
              <w:bottom w:val="single" w:color="auto" w:sz="4" w:space="0"/>
              <w:right w:val="single" w:color="auto" w:sz="4" w:space="0"/>
            </w:tcBorders>
            <w:vAlign w:val="center"/>
          </w:tcPr>
          <w:p>
            <w:pPr>
              <w:widowControl/>
              <w:spacing w:line="280" w:lineRule="exact"/>
              <w:jc w:val="center"/>
              <w:rPr>
                <w:rFonts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A</w:t>
            </w:r>
          </w:p>
        </w:tc>
        <w:tc>
          <w:tcPr>
            <w:tcW w:w="523" w:type="pct"/>
            <w:tcBorders>
              <w:top w:val="nil"/>
              <w:left w:val="nil"/>
              <w:bottom w:val="single" w:color="auto" w:sz="4" w:space="0"/>
              <w:right w:val="single" w:color="auto" w:sz="4" w:space="0"/>
            </w:tcBorders>
            <w:vAlign w:val="center"/>
          </w:tcPr>
          <w:p>
            <w:pPr>
              <w:widowControl/>
              <w:spacing w:line="280" w:lineRule="exact"/>
              <w:jc w:val="center"/>
              <w:rPr>
                <w:rFonts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新建</w:t>
            </w:r>
          </w:p>
        </w:tc>
        <w:tc>
          <w:tcPr>
            <w:tcW w:w="429" w:type="pct"/>
            <w:tcBorders>
              <w:top w:val="nil"/>
              <w:left w:val="nil"/>
              <w:bottom w:val="single" w:color="auto" w:sz="4" w:space="0"/>
              <w:right w:val="single" w:color="auto" w:sz="4" w:space="0"/>
            </w:tcBorders>
            <w:noWrap/>
            <w:vAlign w:val="center"/>
          </w:tcPr>
          <w:p>
            <w:pPr>
              <w:widowControl/>
              <w:spacing w:line="280" w:lineRule="exact"/>
              <w:jc w:val="center"/>
              <w:rPr>
                <w:rFonts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初设已批</w:t>
            </w:r>
          </w:p>
        </w:tc>
        <w:tc>
          <w:tcPr>
            <w:tcW w:w="2065" w:type="pct"/>
            <w:tcBorders>
              <w:top w:val="nil"/>
              <w:left w:val="nil"/>
              <w:bottom w:val="single" w:color="auto" w:sz="4" w:space="0"/>
              <w:right w:val="single" w:color="auto" w:sz="4" w:space="0"/>
            </w:tcBorders>
            <w:vAlign w:val="center"/>
          </w:tcPr>
          <w:p>
            <w:pPr>
              <w:widowControl/>
              <w:spacing w:line="280" w:lineRule="exact"/>
              <w:rPr>
                <w:rFonts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中型，设计洪水标准为50年一遇，总库容为3430万m</w:t>
            </w:r>
            <w:r>
              <w:rPr>
                <w:rFonts w:hint="eastAsia" w:ascii="Times New Roman" w:hAnsi="Times New Roman" w:eastAsia="仿宋_GB2312" w:cs="宋体"/>
                <w:bCs/>
                <w:kern w:val="0"/>
                <w:sz w:val="28"/>
                <w:szCs w:val="28"/>
                <w:vertAlign w:val="superscript"/>
              </w:rPr>
              <w:t>3</w:t>
            </w:r>
            <w:r>
              <w:rPr>
                <w:rFonts w:hint="eastAsia" w:ascii="Times New Roman" w:hAnsi="Times New Roman" w:eastAsia="仿宋_GB2312" w:cs="宋体"/>
                <w:bCs/>
                <w:kern w:val="0"/>
                <w:sz w:val="28"/>
                <w:szCs w:val="28"/>
              </w:rPr>
              <w:t>，主要建筑物由主、副坝、泄洪排沙涵洞、溢洪道、灌溉供水涵洞及扬水泵站组成，坝型为均质土坝</w:t>
            </w:r>
          </w:p>
        </w:tc>
        <w:tc>
          <w:tcPr>
            <w:tcW w:w="641" w:type="pct"/>
            <w:tcBorders>
              <w:top w:val="nil"/>
              <w:left w:val="nil"/>
              <w:bottom w:val="single" w:color="auto" w:sz="4" w:space="0"/>
              <w:right w:val="single" w:color="auto" w:sz="4" w:space="0"/>
            </w:tcBorders>
            <w:vAlign w:val="center"/>
          </w:tcPr>
          <w:p>
            <w:pPr>
              <w:spacing w:line="420" w:lineRule="exact"/>
              <w:jc w:val="center"/>
              <w:rPr>
                <w:rFonts w:ascii="Times New Roman" w:hAnsi="Times New Roman" w:eastAsia="仿宋_GB2312" w:cs="宋体"/>
                <w:bCs/>
                <w:color w:val="000000"/>
                <w:sz w:val="28"/>
                <w:szCs w:val="28"/>
              </w:rPr>
            </w:pPr>
            <w:r>
              <w:rPr>
                <w:rFonts w:hint="eastAsia" w:ascii="Times New Roman" w:hAnsi="Times New Roman" w:eastAsia="仿宋_GB2312" w:cs="宋体"/>
                <w:bCs/>
                <w:color w:val="000000"/>
                <w:sz w:val="28"/>
                <w:szCs w:val="28"/>
              </w:rPr>
              <w:t>6.0013</w:t>
            </w:r>
          </w:p>
        </w:tc>
      </w:tr>
      <w:tr>
        <w:tblPrEx>
          <w:tblCellMar>
            <w:top w:w="0" w:type="dxa"/>
            <w:left w:w="108" w:type="dxa"/>
            <w:bottom w:w="0" w:type="dxa"/>
            <w:right w:w="108" w:type="dxa"/>
          </w:tblCellMar>
        </w:tblPrEx>
        <w:trPr>
          <w:trHeight w:val="288" w:hRule="atLeast"/>
        </w:trPr>
        <w:tc>
          <w:tcPr>
            <w:tcW w:w="298" w:type="pct"/>
            <w:tcBorders>
              <w:top w:val="single" w:color="auto" w:sz="4" w:space="0"/>
              <w:left w:val="single" w:color="auto" w:sz="4" w:space="0"/>
              <w:bottom w:val="single" w:color="auto" w:sz="4" w:space="0"/>
              <w:right w:val="single" w:color="auto" w:sz="4" w:space="0"/>
            </w:tcBorders>
            <w:noWrap/>
            <w:vAlign w:val="center"/>
          </w:tcPr>
          <w:p>
            <w:pPr>
              <w:widowControl/>
              <w:spacing w:line="540" w:lineRule="exact"/>
              <w:jc w:val="center"/>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2</w:t>
            </w:r>
          </w:p>
        </w:tc>
        <w:tc>
          <w:tcPr>
            <w:tcW w:w="523" w:type="pct"/>
            <w:tcBorders>
              <w:top w:val="single" w:color="auto" w:sz="4" w:space="0"/>
              <w:left w:val="single" w:color="auto" w:sz="4" w:space="0"/>
              <w:bottom w:val="single" w:color="auto" w:sz="4" w:space="0"/>
              <w:right w:val="single" w:color="auto" w:sz="4" w:space="0"/>
            </w:tcBorders>
            <w:vAlign w:val="center"/>
          </w:tcPr>
          <w:p>
            <w:pPr>
              <w:widowControl/>
              <w:spacing w:line="420" w:lineRule="exact"/>
              <w:rPr>
                <w:rFonts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乌兰哈达水库</w:t>
            </w:r>
          </w:p>
        </w:tc>
        <w:tc>
          <w:tcPr>
            <w:tcW w:w="523" w:type="pct"/>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rPr>
                <w:rFonts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B</w:t>
            </w:r>
          </w:p>
        </w:tc>
        <w:tc>
          <w:tcPr>
            <w:tcW w:w="523" w:type="pct"/>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rPr>
                <w:rFonts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新建</w:t>
            </w:r>
          </w:p>
        </w:tc>
        <w:tc>
          <w:tcPr>
            <w:tcW w:w="429" w:type="pct"/>
            <w:tcBorders>
              <w:top w:val="single" w:color="auto" w:sz="4" w:space="0"/>
              <w:left w:val="single" w:color="auto" w:sz="4" w:space="0"/>
              <w:bottom w:val="single" w:color="auto" w:sz="4" w:space="0"/>
              <w:right w:val="single" w:color="auto" w:sz="4" w:space="0"/>
            </w:tcBorders>
            <w:noWrap/>
            <w:vAlign w:val="center"/>
          </w:tcPr>
          <w:p>
            <w:pPr>
              <w:widowControl/>
              <w:spacing w:line="420" w:lineRule="exact"/>
              <w:jc w:val="center"/>
              <w:rPr>
                <w:rFonts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可研已审</w:t>
            </w:r>
          </w:p>
        </w:tc>
        <w:tc>
          <w:tcPr>
            <w:tcW w:w="2065" w:type="pct"/>
            <w:tcBorders>
              <w:top w:val="single" w:color="auto" w:sz="4" w:space="0"/>
              <w:left w:val="single" w:color="auto" w:sz="4" w:space="0"/>
              <w:bottom w:val="single" w:color="auto" w:sz="4" w:space="0"/>
              <w:right w:val="single" w:color="auto" w:sz="4" w:space="0"/>
            </w:tcBorders>
            <w:vAlign w:val="center"/>
          </w:tcPr>
          <w:p>
            <w:pPr>
              <w:widowControl/>
              <w:spacing w:line="420" w:lineRule="exact"/>
              <w:rPr>
                <w:rFonts w:ascii="Times New Roman" w:hAnsi="Times New Roman" w:eastAsia="仿宋_GB2312" w:cs="宋体"/>
                <w:bCs/>
                <w:color w:val="000000"/>
                <w:sz w:val="28"/>
                <w:szCs w:val="28"/>
              </w:rPr>
            </w:pPr>
            <w:r>
              <w:rPr>
                <w:rFonts w:hint="eastAsia" w:ascii="Times New Roman" w:hAnsi="Times New Roman" w:eastAsia="仿宋_GB2312" w:cs="宋体"/>
                <w:bCs/>
                <w:kern w:val="0"/>
                <w:sz w:val="28"/>
                <w:szCs w:val="28"/>
              </w:rPr>
              <w:t>中型</w:t>
            </w:r>
          </w:p>
        </w:tc>
        <w:tc>
          <w:tcPr>
            <w:tcW w:w="641" w:type="pct"/>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hint="eastAsia" w:ascii="Times New Roman" w:hAnsi="Times New Roman" w:eastAsia="仿宋_GB2312" w:cs="宋体"/>
                <w:bCs/>
                <w:color w:val="000000"/>
                <w:sz w:val="28"/>
                <w:szCs w:val="28"/>
              </w:rPr>
            </w:pPr>
            <w:r>
              <w:rPr>
                <w:rFonts w:hint="eastAsia" w:ascii="Times New Roman" w:hAnsi="Times New Roman" w:eastAsia="仿宋_GB2312" w:cs="宋体"/>
                <w:bCs/>
                <w:color w:val="000000"/>
                <w:sz w:val="28"/>
                <w:szCs w:val="28"/>
              </w:rPr>
              <w:t>5</w:t>
            </w:r>
          </w:p>
        </w:tc>
      </w:tr>
      <w:tr>
        <w:tblPrEx>
          <w:tblCellMar>
            <w:top w:w="0" w:type="dxa"/>
            <w:left w:w="108" w:type="dxa"/>
            <w:bottom w:w="0" w:type="dxa"/>
            <w:right w:w="108" w:type="dxa"/>
          </w:tblCellMar>
        </w:tblPrEx>
        <w:trPr>
          <w:trHeight w:val="288" w:hRule="atLeast"/>
        </w:trPr>
        <w:tc>
          <w:tcPr>
            <w:tcW w:w="298" w:type="pct"/>
            <w:tcBorders>
              <w:top w:val="single" w:color="auto" w:sz="4" w:space="0"/>
              <w:left w:val="single" w:color="auto" w:sz="4" w:space="0"/>
              <w:bottom w:val="single" w:color="auto" w:sz="4" w:space="0"/>
              <w:right w:val="single" w:color="auto" w:sz="4" w:space="0"/>
            </w:tcBorders>
            <w:noWrap/>
            <w:vAlign w:val="center"/>
          </w:tcPr>
          <w:p>
            <w:pPr>
              <w:widowControl/>
              <w:spacing w:line="540" w:lineRule="exact"/>
              <w:jc w:val="left"/>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　</w:t>
            </w:r>
          </w:p>
        </w:tc>
        <w:tc>
          <w:tcPr>
            <w:tcW w:w="523" w:type="pct"/>
            <w:tcBorders>
              <w:top w:val="single" w:color="auto" w:sz="4" w:space="0"/>
              <w:left w:val="nil"/>
              <w:bottom w:val="single" w:color="auto" w:sz="4" w:space="0"/>
              <w:right w:val="single" w:color="auto" w:sz="4" w:space="0"/>
            </w:tcBorders>
            <w:noWrap/>
            <w:vAlign w:val="center"/>
          </w:tcPr>
          <w:p>
            <w:pPr>
              <w:widowControl/>
              <w:spacing w:line="420" w:lineRule="exact"/>
              <w:jc w:val="center"/>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合计</w:t>
            </w:r>
          </w:p>
        </w:tc>
        <w:tc>
          <w:tcPr>
            <w:tcW w:w="523" w:type="pct"/>
            <w:tcBorders>
              <w:top w:val="single" w:color="auto" w:sz="4" w:space="0"/>
              <w:left w:val="nil"/>
              <w:bottom w:val="single" w:color="auto" w:sz="4" w:space="0"/>
              <w:right w:val="single" w:color="auto" w:sz="4" w:space="0"/>
            </w:tcBorders>
            <w:noWrap/>
            <w:vAlign w:val="center"/>
          </w:tcPr>
          <w:p>
            <w:pPr>
              <w:widowControl/>
              <w:spacing w:line="420" w:lineRule="exact"/>
              <w:jc w:val="left"/>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　</w:t>
            </w:r>
          </w:p>
        </w:tc>
        <w:tc>
          <w:tcPr>
            <w:tcW w:w="523" w:type="pct"/>
            <w:tcBorders>
              <w:top w:val="single" w:color="auto" w:sz="4" w:space="0"/>
              <w:left w:val="nil"/>
              <w:bottom w:val="single" w:color="auto" w:sz="4" w:space="0"/>
              <w:right w:val="single" w:color="auto" w:sz="4" w:space="0"/>
            </w:tcBorders>
            <w:noWrap/>
            <w:vAlign w:val="center"/>
          </w:tcPr>
          <w:p>
            <w:pPr>
              <w:widowControl/>
              <w:spacing w:line="420" w:lineRule="exact"/>
              <w:jc w:val="left"/>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　</w:t>
            </w:r>
          </w:p>
        </w:tc>
        <w:tc>
          <w:tcPr>
            <w:tcW w:w="429" w:type="pct"/>
            <w:tcBorders>
              <w:top w:val="single" w:color="auto" w:sz="4" w:space="0"/>
              <w:left w:val="nil"/>
              <w:bottom w:val="single" w:color="auto" w:sz="4" w:space="0"/>
              <w:right w:val="single" w:color="auto" w:sz="4" w:space="0"/>
            </w:tcBorders>
            <w:noWrap/>
            <w:vAlign w:val="center"/>
          </w:tcPr>
          <w:p>
            <w:pPr>
              <w:widowControl/>
              <w:spacing w:line="420" w:lineRule="exact"/>
              <w:jc w:val="left"/>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　</w:t>
            </w:r>
          </w:p>
        </w:tc>
        <w:tc>
          <w:tcPr>
            <w:tcW w:w="2065" w:type="pct"/>
            <w:tcBorders>
              <w:top w:val="single" w:color="auto" w:sz="4" w:space="0"/>
              <w:left w:val="nil"/>
              <w:bottom w:val="single" w:color="auto" w:sz="4" w:space="0"/>
              <w:right w:val="single" w:color="auto" w:sz="4" w:space="0"/>
            </w:tcBorders>
            <w:noWrap/>
            <w:vAlign w:val="center"/>
          </w:tcPr>
          <w:p>
            <w:pPr>
              <w:widowControl/>
              <w:spacing w:line="420" w:lineRule="exact"/>
              <w:jc w:val="left"/>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　</w:t>
            </w:r>
          </w:p>
        </w:tc>
        <w:tc>
          <w:tcPr>
            <w:tcW w:w="641" w:type="pct"/>
            <w:tcBorders>
              <w:top w:val="single" w:color="auto" w:sz="4" w:space="0"/>
              <w:left w:val="nil"/>
              <w:bottom w:val="single" w:color="auto" w:sz="4" w:space="0"/>
              <w:right w:val="single" w:color="auto" w:sz="4" w:space="0"/>
            </w:tcBorders>
            <w:vAlign w:val="center"/>
          </w:tcPr>
          <w:p>
            <w:pPr>
              <w:widowControl/>
              <w:spacing w:line="420" w:lineRule="exact"/>
              <w:jc w:val="center"/>
              <w:rPr>
                <w:rFonts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11.0013</w:t>
            </w:r>
          </w:p>
        </w:tc>
      </w:tr>
    </w:tbl>
    <w:p>
      <w:pPr>
        <w:spacing w:before="156" w:beforeLines="50" w:after="156" w:afterLines="50" w:line="540" w:lineRule="exact"/>
        <w:jc w:val="center"/>
        <w:rPr>
          <w:rFonts w:hint="eastAsia" w:ascii="Times New Roman" w:hAnsi="Times New Roman" w:eastAsia="黑体" w:cs="仿宋_GB2312"/>
          <w:sz w:val="32"/>
          <w:szCs w:val="32"/>
          <w:lang w:val="zh-TW"/>
        </w:rPr>
      </w:pPr>
      <w:r>
        <w:rPr>
          <w:rFonts w:hint="eastAsia" w:ascii="Times New Roman" w:hAnsi="Times New Roman" w:eastAsia="黑体" w:cs="仿宋_GB2312"/>
          <w:sz w:val="32"/>
          <w:szCs w:val="32"/>
          <w:lang w:val="zh-TW"/>
        </w:rPr>
        <w:t>表3-3  “十四五”规划引调水工程项目统计表</w:t>
      </w:r>
    </w:p>
    <w:tbl>
      <w:tblPr>
        <w:tblStyle w:val="8"/>
        <w:tblW w:w="5035" w:type="pct"/>
        <w:jc w:val="center"/>
        <w:tblLayout w:type="fixed"/>
        <w:tblCellMar>
          <w:top w:w="0" w:type="dxa"/>
          <w:left w:w="108" w:type="dxa"/>
          <w:bottom w:w="0" w:type="dxa"/>
          <w:right w:w="108" w:type="dxa"/>
        </w:tblCellMar>
      </w:tblPr>
      <w:tblGrid>
        <w:gridCol w:w="8"/>
        <w:gridCol w:w="450"/>
        <w:gridCol w:w="13"/>
        <w:gridCol w:w="1432"/>
        <w:gridCol w:w="9"/>
        <w:gridCol w:w="13"/>
        <w:gridCol w:w="754"/>
        <w:gridCol w:w="13"/>
        <w:gridCol w:w="739"/>
        <w:gridCol w:w="16"/>
        <w:gridCol w:w="887"/>
        <w:gridCol w:w="18"/>
        <w:gridCol w:w="3751"/>
        <w:gridCol w:w="22"/>
        <w:gridCol w:w="998"/>
      </w:tblGrid>
      <w:tr>
        <w:tblPrEx>
          <w:tblCellMar>
            <w:top w:w="0" w:type="dxa"/>
            <w:left w:w="108" w:type="dxa"/>
            <w:bottom w:w="0" w:type="dxa"/>
            <w:right w:w="108" w:type="dxa"/>
          </w:tblCellMar>
        </w:tblPrEx>
        <w:trPr>
          <w:trHeight w:val="360" w:hRule="atLeast"/>
          <w:jc w:val="center"/>
        </w:trPr>
        <w:tc>
          <w:tcPr>
            <w:tcW w:w="250" w:type="pct"/>
            <w:gridSpan w:val="2"/>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黑体" w:hAnsi="黑体" w:eastAsia="黑体" w:cs="宋体"/>
                <w:bCs/>
                <w:color w:val="000000"/>
                <w:kern w:val="0"/>
                <w:sz w:val="28"/>
                <w:szCs w:val="28"/>
              </w:rPr>
            </w:pPr>
            <w:r>
              <w:rPr>
                <w:rFonts w:hint="eastAsia" w:ascii="黑体" w:hAnsi="黑体" w:eastAsia="黑体" w:cs="宋体"/>
                <w:bCs/>
                <w:color w:val="000000"/>
                <w:kern w:val="0"/>
                <w:sz w:val="28"/>
                <w:szCs w:val="28"/>
              </w:rPr>
              <w:t>序号</w:t>
            </w:r>
          </w:p>
        </w:tc>
        <w:tc>
          <w:tcPr>
            <w:tcW w:w="796" w:type="pct"/>
            <w:gridSpan w:val="3"/>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黑体" w:hAnsi="黑体" w:eastAsia="黑体" w:cs="宋体"/>
                <w:bCs/>
                <w:kern w:val="0"/>
                <w:sz w:val="28"/>
                <w:szCs w:val="28"/>
              </w:rPr>
            </w:pPr>
            <w:r>
              <w:rPr>
                <w:rFonts w:hint="eastAsia" w:ascii="黑体" w:hAnsi="黑体" w:eastAsia="黑体" w:cs="宋体"/>
                <w:bCs/>
                <w:kern w:val="0"/>
                <w:sz w:val="28"/>
                <w:szCs w:val="28"/>
              </w:rPr>
              <w:t>项目名称</w:t>
            </w:r>
          </w:p>
        </w:tc>
        <w:tc>
          <w:tcPr>
            <w:tcW w:w="420" w:type="pct"/>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黑体" w:hAnsi="黑体" w:eastAsia="黑体" w:cs="宋体"/>
                <w:bCs/>
                <w:kern w:val="0"/>
                <w:sz w:val="28"/>
                <w:szCs w:val="28"/>
              </w:rPr>
            </w:pPr>
            <w:r>
              <w:rPr>
                <w:rFonts w:hint="eastAsia" w:ascii="黑体" w:hAnsi="黑体" w:eastAsia="黑体" w:cs="宋体"/>
                <w:bCs/>
                <w:kern w:val="0"/>
                <w:sz w:val="28"/>
                <w:szCs w:val="28"/>
              </w:rPr>
              <w:t>类别</w:t>
            </w:r>
          </w:p>
        </w:tc>
        <w:tc>
          <w:tcPr>
            <w:tcW w:w="412" w:type="pct"/>
            <w:gridSpan w:val="2"/>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黑体" w:hAnsi="黑体" w:eastAsia="黑体" w:cs="宋体"/>
                <w:bCs/>
                <w:kern w:val="0"/>
                <w:sz w:val="28"/>
                <w:szCs w:val="28"/>
              </w:rPr>
            </w:pPr>
            <w:r>
              <w:rPr>
                <w:rFonts w:hint="eastAsia" w:ascii="黑体" w:hAnsi="黑体" w:eastAsia="黑体" w:cs="宋体"/>
                <w:bCs/>
                <w:kern w:val="0"/>
                <w:sz w:val="28"/>
                <w:szCs w:val="28"/>
              </w:rPr>
              <w:t>建设性质</w:t>
            </w:r>
          </w:p>
        </w:tc>
        <w:tc>
          <w:tcPr>
            <w:tcW w:w="495" w:type="pct"/>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黑体" w:hAnsi="黑体" w:eastAsia="黑体" w:cs="宋体"/>
                <w:bCs/>
                <w:kern w:val="0"/>
                <w:sz w:val="28"/>
                <w:szCs w:val="28"/>
              </w:rPr>
            </w:pPr>
            <w:r>
              <w:rPr>
                <w:rFonts w:hint="eastAsia" w:ascii="黑体" w:hAnsi="黑体" w:eastAsia="黑体" w:cs="宋体"/>
                <w:bCs/>
                <w:kern w:val="0"/>
                <w:sz w:val="28"/>
                <w:szCs w:val="28"/>
              </w:rPr>
              <w:t>前期工作情况</w:t>
            </w:r>
          </w:p>
        </w:tc>
        <w:tc>
          <w:tcPr>
            <w:tcW w:w="2064" w:type="pct"/>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黑体" w:hAnsi="黑体" w:eastAsia="黑体" w:cs="宋体"/>
                <w:bCs/>
                <w:kern w:val="0"/>
                <w:sz w:val="28"/>
                <w:szCs w:val="28"/>
              </w:rPr>
            </w:pPr>
            <w:r>
              <w:rPr>
                <w:rFonts w:hint="eastAsia" w:ascii="黑体" w:hAnsi="黑体" w:eastAsia="黑体" w:cs="宋体"/>
                <w:bCs/>
                <w:kern w:val="0"/>
                <w:sz w:val="28"/>
                <w:szCs w:val="28"/>
              </w:rPr>
              <w:t>工程规模/数量</w:t>
            </w:r>
          </w:p>
        </w:tc>
        <w:tc>
          <w:tcPr>
            <w:tcW w:w="559" w:type="pct"/>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黑体" w:hAnsi="黑体" w:eastAsia="黑体" w:cs="宋体"/>
                <w:bCs/>
                <w:kern w:val="0"/>
                <w:sz w:val="28"/>
                <w:szCs w:val="28"/>
              </w:rPr>
            </w:pPr>
            <w:r>
              <w:rPr>
                <w:rFonts w:hint="eastAsia" w:ascii="黑体" w:hAnsi="黑体" w:eastAsia="黑体" w:cs="宋体"/>
                <w:bCs/>
                <w:kern w:val="0"/>
                <w:sz w:val="28"/>
                <w:szCs w:val="28"/>
              </w:rPr>
              <w:t>十四五投资（亿元）</w:t>
            </w:r>
          </w:p>
        </w:tc>
      </w:tr>
      <w:tr>
        <w:tblPrEx>
          <w:tblCellMar>
            <w:top w:w="0" w:type="dxa"/>
            <w:left w:w="108" w:type="dxa"/>
            <w:bottom w:w="0" w:type="dxa"/>
            <w:right w:w="108" w:type="dxa"/>
          </w:tblCellMar>
        </w:tblPrEx>
        <w:trPr>
          <w:trHeight w:val="360" w:hRule="atLeast"/>
          <w:jc w:val="center"/>
        </w:trPr>
        <w:tc>
          <w:tcPr>
            <w:tcW w:w="250" w:type="pct"/>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ascii="Times New Roman" w:hAnsi="Times New Roman" w:eastAsia="仿宋_GB2312" w:cs="宋体"/>
                <w:bCs/>
                <w:color w:val="000000"/>
                <w:kern w:val="0"/>
                <w:sz w:val="28"/>
                <w:szCs w:val="28"/>
              </w:rPr>
            </w:pPr>
          </w:p>
        </w:tc>
        <w:tc>
          <w:tcPr>
            <w:tcW w:w="796" w:type="pct"/>
            <w:gridSpan w:val="3"/>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ascii="Times New Roman" w:hAnsi="Times New Roman" w:eastAsia="仿宋_GB2312" w:cs="宋体"/>
                <w:bCs/>
                <w:kern w:val="0"/>
                <w:sz w:val="28"/>
                <w:szCs w:val="28"/>
              </w:rPr>
            </w:pPr>
          </w:p>
        </w:tc>
        <w:tc>
          <w:tcPr>
            <w:tcW w:w="420" w:type="pct"/>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ascii="Times New Roman" w:hAnsi="Times New Roman" w:eastAsia="仿宋_GB2312" w:cs="宋体"/>
                <w:bCs/>
                <w:kern w:val="0"/>
                <w:sz w:val="28"/>
                <w:szCs w:val="28"/>
              </w:rPr>
            </w:pPr>
          </w:p>
        </w:tc>
        <w:tc>
          <w:tcPr>
            <w:tcW w:w="412" w:type="pct"/>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ascii="Times New Roman" w:hAnsi="Times New Roman" w:eastAsia="仿宋_GB2312" w:cs="宋体"/>
                <w:bCs/>
                <w:kern w:val="0"/>
                <w:sz w:val="28"/>
                <w:szCs w:val="28"/>
              </w:rPr>
            </w:pPr>
          </w:p>
        </w:tc>
        <w:tc>
          <w:tcPr>
            <w:tcW w:w="495" w:type="pct"/>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ascii="Times New Roman" w:hAnsi="Times New Roman" w:eastAsia="仿宋_GB2312" w:cs="宋体"/>
                <w:bCs/>
                <w:kern w:val="0"/>
                <w:sz w:val="28"/>
                <w:szCs w:val="28"/>
              </w:rPr>
            </w:pPr>
          </w:p>
        </w:tc>
        <w:tc>
          <w:tcPr>
            <w:tcW w:w="2064" w:type="pct"/>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ascii="Times New Roman" w:hAnsi="Times New Roman" w:eastAsia="仿宋_GB2312" w:cs="宋体"/>
                <w:bCs/>
                <w:kern w:val="0"/>
                <w:sz w:val="28"/>
                <w:szCs w:val="28"/>
              </w:rPr>
            </w:pPr>
          </w:p>
        </w:tc>
        <w:tc>
          <w:tcPr>
            <w:tcW w:w="559" w:type="pct"/>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ascii="Times New Roman" w:hAnsi="Times New Roman" w:eastAsia="仿宋_GB2312" w:cs="宋体"/>
                <w:bCs/>
                <w:kern w:val="0"/>
                <w:sz w:val="28"/>
                <w:szCs w:val="28"/>
              </w:rPr>
            </w:pPr>
          </w:p>
        </w:tc>
      </w:tr>
      <w:tr>
        <w:tblPrEx>
          <w:tblCellMar>
            <w:top w:w="0" w:type="dxa"/>
            <w:left w:w="108" w:type="dxa"/>
            <w:bottom w:w="0" w:type="dxa"/>
            <w:right w:w="108" w:type="dxa"/>
          </w:tblCellMar>
        </w:tblPrEx>
        <w:trPr>
          <w:trHeight w:val="2101" w:hRule="atLeast"/>
          <w:jc w:val="center"/>
        </w:trPr>
        <w:tc>
          <w:tcPr>
            <w:tcW w:w="250" w:type="pct"/>
            <w:gridSpan w:val="2"/>
            <w:tcBorders>
              <w:top w:val="nil"/>
              <w:left w:val="single" w:color="auto" w:sz="4" w:space="0"/>
              <w:bottom w:val="single" w:color="auto" w:sz="4" w:space="0"/>
              <w:right w:val="single" w:color="auto" w:sz="4" w:space="0"/>
            </w:tcBorders>
            <w:noWrap/>
            <w:vAlign w:val="center"/>
          </w:tcPr>
          <w:p>
            <w:pPr>
              <w:widowControl/>
              <w:spacing w:line="360" w:lineRule="exact"/>
              <w:jc w:val="center"/>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1</w:t>
            </w:r>
          </w:p>
        </w:tc>
        <w:tc>
          <w:tcPr>
            <w:tcW w:w="796" w:type="pct"/>
            <w:gridSpan w:val="3"/>
            <w:tcBorders>
              <w:top w:val="single" w:color="auto" w:sz="4" w:space="0"/>
              <w:left w:val="single" w:color="auto" w:sz="4" w:space="0"/>
              <w:bottom w:val="single" w:color="auto" w:sz="4" w:space="0"/>
              <w:right w:val="single" w:color="auto" w:sz="4" w:space="0"/>
            </w:tcBorders>
            <w:vAlign w:val="center"/>
          </w:tcPr>
          <w:p>
            <w:pPr>
              <w:widowControl/>
              <w:spacing w:line="360" w:lineRule="exact"/>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引绰济辽二期工程</w:t>
            </w:r>
          </w:p>
        </w:tc>
        <w:tc>
          <w:tcPr>
            <w:tcW w:w="420" w:type="pct"/>
            <w:gridSpan w:val="2"/>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A</w:t>
            </w:r>
          </w:p>
        </w:tc>
        <w:tc>
          <w:tcPr>
            <w:tcW w:w="412" w:type="pct"/>
            <w:gridSpan w:val="2"/>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新建</w:t>
            </w:r>
          </w:p>
        </w:tc>
        <w:tc>
          <w:tcPr>
            <w:tcW w:w="495" w:type="pct"/>
            <w:gridSpan w:val="2"/>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可研</w:t>
            </w:r>
          </w:p>
        </w:tc>
        <w:tc>
          <w:tcPr>
            <w:tcW w:w="2064" w:type="pct"/>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我市输水支线总长423 km、工程投资估算35亿元。建设内容包括输水线路、交叉工程及附属建筑物等</w:t>
            </w:r>
          </w:p>
        </w:tc>
        <w:tc>
          <w:tcPr>
            <w:tcW w:w="559" w:type="pct"/>
            <w:gridSpan w:val="2"/>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20</w:t>
            </w:r>
          </w:p>
        </w:tc>
      </w:tr>
      <w:tr>
        <w:tblPrEx>
          <w:tblCellMar>
            <w:top w:w="0" w:type="dxa"/>
            <w:left w:w="108" w:type="dxa"/>
            <w:bottom w:w="0" w:type="dxa"/>
            <w:right w:w="108" w:type="dxa"/>
          </w:tblCellMar>
        </w:tblPrEx>
        <w:trPr>
          <w:gridBefore w:val="1"/>
          <w:wBefore w:w="4" w:type="pct"/>
          <w:trHeight w:val="7361" w:hRule="atLeast"/>
          <w:jc w:val="center"/>
        </w:trPr>
        <w:tc>
          <w:tcPr>
            <w:tcW w:w="252" w:type="pct"/>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2</w:t>
            </w:r>
          </w:p>
        </w:tc>
        <w:tc>
          <w:tcPr>
            <w:tcW w:w="796" w:type="pct"/>
            <w:gridSpan w:val="3"/>
            <w:tcBorders>
              <w:top w:val="single" w:color="auto" w:sz="4" w:space="0"/>
              <w:left w:val="single" w:color="auto" w:sz="4" w:space="0"/>
              <w:bottom w:val="single" w:color="auto" w:sz="4" w:space="0"/>
              <w:right w:val="single" w:color="auto" w:sz="4" w:space="0"/>
            </w:tcBorders>
            <w:vAlign w:val="center"/>
          </w:tcPr>
          <w:p>
            <w:pPr>
              <w:widowControl/>
              <w:spacing w:line="360" w:lineRule="exact"/>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LXB供水内蒙古（通辽）支线工程</w:t>
            </w:r>
          </w:p>
        </w:tc>
        <w:tc>
          <w:tcPr>
            <w:tcW w:w="420" w:type="pct"/>
            <w:gridSpan w:val="2"/>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A</w:t>
            </w:r>
          </w:p>
        </w:tc>
        <w:tc>
          <w:tcPr>
            <w:tcW w:w="414" w:type="pct"/>
            <w:gridSpan w:val="2"/>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新建</w:t>
            </w:r>
          </w:p>
        </w:tc>
        <w:tc>
          <w:tcPr>
            <w:tcW w:w="496" w:type="pct"/>
            <w:gridSpan w:val="2"/>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可研</w:t>
            </w:r>
          </w:p>
        </w:tc>
        <w:tc>
          <w:tcPr>
            <w:tcW w:w="2066" w:type="pct"/>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LXB供水通辽支线工程拟从辽宁省清河水库调水，2016年4月8日，自治区人民政府印发了《内蒙古自治区人民政府关于LXB供水内蒙古支线工程水资源配置方案的批复》（以下简称“批复”）（内政字〔2016〕84号），批复中明确工程总调水量2亿立方米中通辽市配置水量1.0833亿立米（占比54.2%）、赤峰市配置水量0.9167亿立米（占比45.8%）。供水管线总长334km，工程估算投资48亿元。建设内容包括输水线路、交叉工程及附属建筑物等。</w:t>
            </w:r>
          </w:p>
        </w:tc>
        <w:tc>
          <w:tcPr>
            <w:tcW w:w="547"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50.54</w:t>
            </w:r>
          </w:p>
        </w:tc>
      </w:tr>
      <w:tr>
        <w:tblPrEx>
          <w:tblCellMar>
            <w:top w:w="0" w:type="dxa"/>
            <w:left w:w="108" w:type="dxa"/>
            <w:bottom w:w="0" w:type="dxa"/>
            <w:right w:w="108" w:type="dxa"/>
          </w:tblCellMar>
        </w:tblPrEx>
        <w:trPr>
          <w:gridBefore w:val="1"/>
          <w:wBefore w:w="4" w:type="pct"/>
          <w:trHeight w:val="6652" w:hRule="atLeast"/>
          <w:jc w:val="center"/>
        </w:trPr>
        <w:tc>
          <w:tcPr>
            <w:tcW w:w="252" w:type="pct"/>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3</w:t>
            </w:r>
          </w:p>
        </w:tc>
        <w:tc>
          <w:tcPr>
            <w:tcW w:w="796" w:type="pct"/>
            <w:gridSpan w:val="3"/>
            <w:tcBorders>
              <w:top w:val="single" w:color="auto" w:sz="4" w:space="0"/>
              <w:left w:val="single" w:color="auto" w:sz="4" w:space="0"/>
              <w:bottom w:val="single" w:color="auto" w:sz="4" w:space="0"/>
              <w:right w:val="single" w:color="auto" w:sz="4" w:space="0"/>
            </w:tcBorders>
            <w:vAlign w:val="center"/>
          </w:tcPr>
          <w:p>
            <w:pPr>
              <w:widowControl/>
              <w:spacing w:line="360" w:lineRule="exact"/>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“引嫩济锡”调水</w:t>
            </w:r>
          </w:p>
        </w:tc>
        <w:tc>
          <w:tcPr>
            <w:tcW w:w="420" w:type="pct"/>
            <w:gridSpan w:val="2"/>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D</w:t>
            </w:r>
          </w:p>
        </w:tc>
        <w:tc>
          <w:tcPr>
            <w:tcW w:w="414" w:type="pct"/>
            <w:gridSpan w:val="2"/>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新建</w:t>
            </w:r>
          </w:p>
        </w:tc>
        <w:tc>
          <w:tcPr>
            <w:tcW w:w="496" w:type="pct"/>
            <w:gridSpan w:val="2"/>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规划</w:t>
            </w:r>
          </w:p>
        </w:tc>
        <w:tc>
          <w:tcPr>
            <w:tcW w:w="2066" w:type="pct"/>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引嫩济锡（霍）工程是拟从嫩江干流江桥水文站上游引水到锡林郭勒盟及霍林郭勒市的跨地区、跨流域大型引水工程，引水范围为嫩江干流，受水范围为锡盟7个旗县和通辽市的霍林郭勒市。计划年调水总量3.88亿立米，其中锡林郭勒盟2.53亿立米，霍林郭勒市1.35亿立米。工程估算投资326亿元,其中调蓄水库工程31.29亿元，输水线路工程294.75亿元。输水干线从取水口至乌拉盖水库总长度330.3km，锡林郭勒盟各旗县至乌拉盖水库调水支线输水管线总长度906.89km，霍林郭勒市从乌拉盖调水,输水管线42.68km，工程估算投资80亿元。</w:t>
            </w:r>
          </w:p>
        </w:tc>
        <w:tc>
          <w:tcPr>
            <w:tcW w:w="547"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0</w:t>
            </w:r>
          </w:p>
        </w:tc>
      </w:tr>
      <w:tr>
        <w:tblPrEx>
          <w:tblCellMar>
            <w:top w:w="0" w:type="dxa"/>
            <w:left w:w="108" w:type="dxa"/>
            <w:bottom w:w="0" w:type="dxa"/>
            <w:right w:w="108" w:type="dxa"/>
          </w:tblCellMar>
        </w:tblPrEx>
        <w:trPr>
          <w:gridBefore w:val="1"/>
          <w:wBefore w:w="4" w:type="pct"/>
          <w:trHeight w:val="1300" w:hRule="atLeast"/>
          <w:jc w:val="center"/>
        </w:trPr>
        <w:tc>
          <w:tcPr>
            <w:tcW w:w="252" w:type="pct"/>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4</w:t>
            </w:r>
          </w:p>
        </w:tc>
        <w:tc>
          <w:tcPr>
            <w:tcW w:w="796" w:type="pct"/>
            <w:gridSpan w:val="3"/>
            <w:tcBorders>
              <w:top w:val="single" w:color="auto" w:sz="4" w:space="0"/>
              <w:left w:val="nil"/>
              <w:bottom w:val="single" w:color="auto" w:sz="4" w:space="0"/>
              <w:right w:val="single" w:color="auto" w:sz="4" w:space="0"/>
            </w:tcBorders>
            <w:vAlign w:val="center"/>
          </w:tcPr>
          <w:p>
            <w:pPr>
              <w:widowControl/>
              <w:spacing w:line="360" w:lineRule="exact"/>
              <w:jc w:val="center"/>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毛都水库输水管线工程</w:t>
            </w:r>
          </w:p>
        </w:tc>
        <w:tc>
          <w:tcPr>
            <w:tcW w:w="420" w:type="pct"/>
            <w:gridSpan w:val="2"/>
            <w:tcBorders>
              <w:top w:val="single" w:color="auto" w:sz="4" w:space="0"/>
              <w:left w:val="nil"/>
              <w:bottom w:val="single" w:color="auto" w:sz="4" w:space="0"/>
              <w:right w:val="single" w:color="auto" w:sz="4" w:space="0"/>
            </w:tcBorders>
            <w:vAlign w:val="center"/>
          </w:tcPr>
          <w:p>
            <w:pPr>
              <w:widowControl/>
              <w:spacing w:line="360" w:lineRule="exact"/>
              <w:jc w:val="center"/>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A</w:t>
            </w:r>
          </w:p>
        </w:tc>
        <w:tc>
          <w:tcPr>
            <w:tcW w:w="414" w:type="pct"/>
            <w:gridSpan w:val="2"/>
            <w:tcBorders>
              <w:top w:val="single" w:color="auto" w:sz="4" w:space="0"/>
              <w:left w:val="nil"/>
              <w:bottom w:val="single" w:color="auto" w:sz="4" w:space="0"/>
              <w:right w:val="single" w:color="auto" w:sz="4" w:space="0"/>
            </w:tcBorders>
            <w:vAlign w:val="center"/>
          </w:tcPr>
          <w:p>
            <w:pPr>
              <w:widowControl/>
              <w:spacing w:line="360" w:lineRule="exact"/>
              <w:jc w:val="center"/>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新建</w:t>
            </w:r>
          </w:p>
        </w:tc>
        <w:tc>
          <w:tcPr>
            <w:tcW w:w="496" w:type="pct"/>
            <w:gridSpan w:val="2"/>
            <w:tcBorders>
              <w:top w:val="single" w:color="auto" w:sz="4" w:space="0"/>
              <w:left w:val="nil"/>
              <w:bottom w:val="single" w:color="auto" w:sz="4" w:space="0"/>
              <w:right w:val="single" w:color="auto" w:sz="4" w:space="0"/>
            </w:tcBorders>
            <w:vAlign w:val="center"/>
          </w:tcPr>
          <w:p>
            <w:pPr>
              <w:widowControl/>
              <w:spacing w:line="360" w:lineRule="exact"/>
              <w:jc w:val="center"/>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可研</w:t>
            </w:r>
          </w:p>
        </w:tc>
        <w:tc>
          <w:tcPr>
            <w:tcW w:w="2066" w:type="pct"/>
            <w:gridSpan w:val="2"/>
            <w:tcBorders>
              <w:top w:val="single" w:color="auto" w:sz="4" w:space="0"/>
              <w:left w:val="nil"/>
              <w:bottom w:val="single" w:color="auto" w:sz="4" w:space="0"/>
              <w:right w:val="single" w:color="auto" w:sz="4" w:space="0"/>
            </w:tcBorders>
            <w:vAlign w:val="center"/>
          </w:tcPr>
          <w:p>
            <w:pPr>
              <w:widowControl/>
              <w:spacing w:line="360" w:lineRule="exact"/>
              <w:jc w:val="center"/>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建设输水管道36.29公里</w:t>
            </w:r>
          </w:p>
        </w:tc>
        <w:tc>
          <w:tcPr>
            <w:tcW w:w="547" w:type="pct"/>
            <w:tcBorders>
              <w:top w:val="single" w:color="auto" w:sz="4" w:space="0"/>
              <w:left w:val="nil"/>
              <w:bottom w:val="single" w:color="auto" w:sz="4" w:space="0"/>
              <w:right w:val="single" w:color="auto" w:sz="4" w:space="0"/>
            </w:tcBorders>
            <w:vAlign w:val="center"/>
          </w:tcPr>
          <w:p>
            <w:pPr>
              <w:widowControl/>
              <w:spacing w:line="360" w:lineRule="exact"/>
              <w:jc w:val="center"/>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1.2</w:t>
            </w:r>
          </w:p>
        </w:tc>
      </w:tr>
      <w:tr>
        <w:tblPrEx>
          <w:tblCellMar>
            <w:top w:w="0" w:type="dxa"/>
            <w:left w:w="108" w:type="dxa"/>
            <w:bottom w:w="0" w:type="dxa"/>
            <w:right w:w="108" w:type="dxa"/>
          </w:tblCellMar>
        </w:tblPrEx>
        <w:trPr>
          <w:trHeight w:val="635" w:hRule="atLeast"/>
          <w:jc w:val="center"/>
        </w:trPr>
        <w:tc>
          <w:tcPr>
            <w:tcW w:w="257" w:type="pct"/>
            <w:gridSpan w:val="3"/>
            <w:tcBorders>
              <w:top w:val="nil"/>
              <w:left w:val="single" w:color="auto" w:sz="4" w:space="0"/>
              <w:bottom w:val="single" w:color="auto" w:sz="4" w:space="0"/>
              <w:right w:val="single" w:color="auto" w:sz="4" w:space="0"/>
            </w:tcBorders>
            <w:noWrap/>
            <w:vAlign w:val="center"/>
          </w:tcPr>
          <w:p>
            <w:pPr>
              <w:widowControl/>
              <w:spacing w:line="360" w:lineRule="exact"/>
              <w:jc w:val="left"/>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　</w:t>
            </w:r>
          </w:p>
        </w:tc>
        <w:tc>
          <w:tcPr>
            <w:tcW w:w="784" w:type="pct"/>
            <w:tcBorders>
              <w:top w:val="nil"/>
              <w:left w:val="nil"/>
              <w:bottom w:val="single" w:color="auto" w:sz="4" w:space="0"/>
              <w:right w:val="single" w:color="auto" w:sz="4" w:space="0"/>
            </w:tcBorders>
            <w:noWrap/>
            <w:vAlign w:val="center"/>
          </w:tcPr>
          <w:p>
            <w:pPr>
              <w:widowControl/>
              <w:spacing w:line="360" w:lineRule="exact"/>
              <w:jc w:val="center"/>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合计</w:t>
            </w:r>
          </w:p>
        </w:tc>
        <w:tc>
          <w:tcPr>
            <w:tcW w:w="432" w:type="pct"/>
            <w:gridSpan w:val="4"/>
            <w:tcBorders>
              <w:top w:val="nil"/>
              <w:left w:val="nil"/>
              <w:bottom w:val="single" w:color="auto" w:sz="4" w:space="0"/>
              <w:right w:val="single" w:color="auto" w:sz="4" w:space="0"/>
            </w:tcBorders>
            <w:noWrap/>
            <w:vAlign w:val="center"/>
          </w:tcPr>
          <w:p>
            <w:pPr>
              <w:widowControl/>
              <w:spacing w:line="360" w:lineRule="exact"/>
              <w:jc w:val="left"/>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　</w:t>
            </w:r>
          </w:p>
        </w:tc>
        <w:tc>
          <w:tcPr>
            <w:tcW w:w="414" w:type="pct"/>
            <w:gridSpan w:val="2"/>
            <w:tcBorders>
              <w:top w:val="nil"/>
              <w:left w:val="nil"/>
              <w:bottom w:val="single" w:color="auto" w:sz="4" w:space="0"/>
              <w:right w:val="single" w:color="auto" w:sz="4" w:space="0"/>
            </w:tcBorders>
            <w:noWrap/>
            <w:vAlign w:val="center"/>
          </w:tcPr>
          <w:p>
            <w:pPr>
              <w:widowControl/>
              <w:spacing w:line="360" w:lineRule="exact"/>
              <w:jc w:val="left"/>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　</w:t>
            </w:r>
          </w:p>
        </w:tc>
        <w:tc>
          <w:tcPr>
            <w:tcW w:w="496" w:type="pct"/>
            <w:gridSpan w:val="2"/>
            <w:tcBorders>
              <w:top w:val="nil"/>
              <w:left w:val="nil"/>
              <w:bottom w:val="single" w:color="auto" w:sz="4" w:space="0"/>
              <w:right w:val="single" w:color="auto" w:sz="4" w:space="0"/>
            </w:tcBorders>
            <w:noWrap/>
            <w:vAlign w:val="center"/>
          </w:tcPr>
          <w:p>
            <w:pPr>
              <w:widowControl/>
              <w:spacing w:line="360" w:lineRule="exact"/>
              <w:jc w:val="left"/>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　</w:t>
            </w:r>
          </w:p>
        </w:tc>
        <w:tc>
          <w:tcPr>
            <w:tcW w:w="2066" w:type="pct"/>
            <w:gridSpan w:val="2"/>
            <w:tcBorders>
              <w:top w:val="nil"/>
              <w:left w:val="nil"/>
              <w:bottom w:val="single" w:color="auto" w:sz="4" w:space="0"/>
              <w:right w:val="single" w:color="auto" w:sz="4" w:space="0"/>
            </w:tcBorders>
            <w:noWrap/>
            <w:vAlign w:val="center"/>
          </w:tcPr>
          <w:p>
            <w:pPr>
              <w:widowControl/>
              <w:spacing w:line="360" w:lineRule="exact"/>
              <w:jc w:val="left"/>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　</w:t>
            </w:r>
          </w:p>
        </w:tc>
        <w:tc>
          <w:tcPr>
            <w:tcW w:w="547" w:type="pct"/>
            <w:tcBorders>
              <w:top w:val="nil"/>
              <w:left w:val="nil"/>
              <w:bottom w:val="single" w:color="auto" w:sz="4" w:space="0"/>
              <w:right w:val="single" w:color="auto" w:sz="4" w:space="0"/>
            </w:tcBorders>
            <w:vAlign w:val="center"/>
          </w:tcPr>
          <w:p>
            <w:pPr>
              <w:widowControl/>
              <w:spacing w:line="360" w:lineRule="exact"/>
              <w:jc w:val="center"/>
              <w:rPr>
                <w:rFonts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71.64</w:t>
            </w:r>
          </w:p>
        </w:tc>
      </w:tr>
    </w:tbl>
    <w:p>
      <w:pPr>
        <w:spacing w:line="540" w:lineRule="exact"/>
        <w:ind w:firstLine="640" w:firstLineChars="200"/>
        <w:rPr>
          <w:rFonts w:hint="eastAsia" w:ascii="Times New Roman" w:hAnsi="Times New Roman" w:eastAsia="楷体_GB2312" w:cs="楷体_GB2312"/>
          <w:sz w:val="32"/>
          <w:szCs w:val="32"/>
        </w:rPr>
      </w:pPr>
    </w:p>
    <w:p>
      <w:pPr>
        <w:spacing w:line="560" w:lineRule="exact"/>
        <w:ind w:firstLine="640" w:firstLineChars="200"/>
        <w:rPr>
          <w:rFonts w:hint="eastAsia" w:ascii="Times New Roman" w:hAnsi="Times New Roman" w:eastAsia="楷体_GB2312"/>
          <w:sz w:val="32"/>
          <w:szCs w:val="32"/>
        </w:rPr>
      </w:pPr>
      <w:r>
        <w:rPr>
          <w:rFonts w:hint="eastAsia" w:ascii="Times New Roman" w:hAnsi="Times New Roman" w:eastAsia="楷体_GB2312"/>
          <w:sz w:val="32"/>
          <w:szCs w:val="32"/>
        </w:rPr>
        <w:t>（二）提升防洪能力</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实施河道治理工程及病险水闸、水库除险加固工程，强化城市防洪排涝能力，推进山洪沟治理工程，提升自然灾害防御水平。多手段，齐配合，建立和完善应对突发事件的应急机制，增强应急处置能力，提高水安全保障能力。</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1. 完成开鲁新开河等河道治理工程，使流域面积3000平方公里以上主要支流堤防达标率为72%。</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2. 推进霍林郭勒市浑迪音河、扎旗鲁北河、巴彦塔拉河、乌努格其河治理工程等4项中小河流治理工程前期工作。</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3. 完成8座水库除险加固。十四五期间完成3座中型水库、5座小型水库除险加固。</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4. 完成2座大型枢纽安全鉴定。完成苏家堡和乌力吉木仁大型枢纽安全鉴定工作。</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5. 完成2座大型及1座中型枢纽除险加固工作。十四五期间完成台河口、总办和他拉干枢纽除险加固。</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6. 开展山洪沟治理。十四五期间完成4条重点山洪沟治理。</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具体内容见表3-4~8。</w:t>
      </w:r>
    </w:p>
    <w:p>
      <w:pPr>
        <w:spacing w:line="560" w:lineRule="exact"/>
        <w:ind w:firstLine="640" w:firstLineChars="200"/>
        <w:rPr>
          <w:rFonts w:hint="eastAsia" w:ascii="Times New Roman" w:hAnsi="Times New Roman" w:eastAsia="仿宋_GB2312"/>
          <w:sz w:val="32"/>
          <w:szCs w:val="32"/>
        </w:rPr>
      </w:pPr>
    </w:p>
    <w:p>
      <w:pPr>
        <w:spacing w:line="540" w:lineRule="exact"/>
        <w:jc w:val="center"/>
        <w:rPr>
          <w:rFonts w:hint="eastAsia" w:ascii="Times New Roman" w:hAnsi="Times New Roman" w:eastAsia="黑体" w:cs="仿宋_GB2312"/>
          <w:sz w:val="32"/>
          <w:szCs w:val="32"/>
          <w:lang w:val="zh-TW"/>
        </w:rPr>
      </w:pPr>
      <w:r>
        <w:rPr>
          <w:rFonts w:hint="eastAsia" w:ascii="Times New Roman" w:hAnsi="Times New Roman" w:eastAsia="黑体" w:cs="仿宋_GB2312"/>
          <w:sz w:val="32"/>
          <w:szCs w:val="32"/>
          <w:lang w:val="zh-TW"/>
        </w:rPr>
        <w:t>表3-4  流域面积3000平方公里以上中小河流治理工程</w:t>
      </w:r>
    </w:p>
    <w:tbl>
      <w:tblPr>
        <w:tblStyle w:val="8"/>
        <w:tblW w:w="5000" w:type="pct"/>
        <w:jc w:val="center"/>
        <w:tblLayout w:type="autofit"/>
        <w:tblCellMar>
          <w:top w:w="0" w:type="dxa"/>
          <w:left w:w="108" w:type="dxa"/>
          <w:bottom w:w="0" w:type="dxa"/>
          <w:right w:w="108" w:type="dxa"/>
        </w:tblCellMar>
      </w:tblPr>
      <w:tblGrid>
        <w:gridCol w:w="688"/>
        <w:gridCol w:w="2737"/>
        <w:gridCol w:w="947"/>
        <w:gridCol w:w="1336"/>
        <w:gridCol w:w="1336"/>
        <w:gridCol w:w="1057"/>
        <w:gridCol w:w="959"/>
      </w:tblGrid>
      <w:tr>
        <w:tblPrEx>
          <w:tblCellMar>
            <w:top w:w="0" w:type="dxa"/>
            <w:left w:w="108" w:type="dxa"/>
            <w:bottom w:w="0" w:type="dxa"/>
            <w:right w:w="108" w:type="dxa"/>
          </w:tblCellMar>
        </w:tblPrEx>
        <w:trPr>
          <w:trHeight w:val="626" w:hRule="atLeast"/>
          <w:jc w:val="center"/>
        </w:trPr>
        <w:tc>
          <w:tcPr>
            <w:tcW w:w="380" w:type="pct"/>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rPr>
                <w:rFonts w:ascii="黑体" w:hAnsi="黑体" w:eastAsia="黑体" w:cs="宋体"/>
                <w:bCs/>
                <w:kern w:val="0"/>
                <w:sz w:val="28"/>
                <w:szCs w:val="28"/>
              </w:rPr>
            </w:pPr>
            <w:r>
              <w:rPr>
                <w:rFonts w:hint="eastAsia" w:ascii="黑体" w:hAnsi="黑体" w:eastAsia="黑体" w:cs="宋体"/>
                <w:bCs/>
                <w:kern w:val="0"/>
                <w:sz w:val="28"/>
                <w:szCs w:val="28"/>
              </w:rPr>
              <w:t>序号</w:t>
            </w:r>
          </w:p>
        </w:tc>
        <w:tc>
          <w:tcPr>
            <w:tcW w:w="1511" w:type="pct"/>
            <w:tcBorders>
              <w:top w:val="single" w:color="auto" w:sz="4" w:space="0"/>
              <w:left w:val="single" w:color="auto" w:sz="4" w:space="0"/>
              <w:bottom w:val="single" w:color="000000" w:sz="4" w:space="0"/>
              <w:right w:val="single" w:color="auto" w:sz="4" w:space="0"/>
            </w:tcBorders>
            <w:vAlign w:val="center"/>
          </w:tcPr>
          <w:p>
            <w:pPr>
              <w:widowControl/>
              <w:spacing w:line="420" w:lineRule="exact"/>
              <w:jc w:val="center"/>
              <w:rPr>
                <w:rFonts w:ascii="黑体" w:hAnsi="黑体" w:eastAsia="黑体" w:cs="宋体"/>
                <w:bCs/>
                <w:kern w:val="0"/>
                <w:sz w:val="28"/>
                <w:szCs w:val="28"/>
              </w:rPr>
            </w:pPr>
            <w:r>
              <w:rPr>
                <w:rFonts w:hint="eastAsia" w:ascii="黑体" w:hAnsi="黑体" w:eastAsia="黑体" w:cs="宋体"/>
                <w:bCs/>
                <w:kern w:val="0"/>
                <w:sz w:val="28"/>
                <w:szCs w:val="28"/>
              </w:rPr>
              <w:t>项目名称</w:t>
            </w:r>
          </w:p>
        </w:tc>
        <w:tc>
          <w:tcPr>
            <w:tcW w:w="523" w:type="pct"/>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rPr>
                <w:rFonts w:ascii="黑体" w:hAnsi="黑体" w:eastAsia="黑体" w:cs="宋体"/>
                <w:bCs/>
                <w:kern w:val="0"/>
                <w:sz w:val="28"/>
                <w:szCs w:val="28"/>
              </w:rPr>
            </w:pPr>
            <w:r>
              <w:rPr>
                <w:rFonts w:hint="eastAsia" w:ascii="黑体" w:hAnsi="黑体" w:eastAsia="黑体" w:cs="宋体"/>
                <w:bCs/>
                <w:kern w:val="0"/>
                <w:sz w:val="28"/>
                <w:szCs w:val="28"/>
              </w:rPr>
              <w:t>类别</w:t>
            </w:r>
          </w:p>
        </w:tc>
        <w:tc>
          <w:tcPr>
            <w:tcW w:w="737" w:type="pct"/>
            <w:tcBorders>
              <w:top w:val="single" w:color="auto" w:sz="4" w:space="0"/>
              <w:left w:val="single" w:color="auto" w:sz="4" w:space="0"/>
              <w:bottom w:val="single" w:color="auto" w:sz="4" w:space="0"/>
              <w:right w:val="single" w:color="auto" w:sz="4" w:space="0"/>
            </w:tcBorders>
            <w:noWrap/>
            <w:vAlign w:val="center"/>
          </w:tcPr>
          <w:p>
            <w:pPr>
              <w:widowControl/>
              <w:spacing w:line="420" w:lineRule="exact"/>
              <w:jc w:val="center"/>
              <w:rPr>
                <w:rFonts w:ascii="黑体" w:hAnsi="黑体" w:eastAsia="黑体" w:cs="宋体"/>
                <w:bCs/>
                <w:kern w:val="0"/>
                <w:sz w:val="28"/>
                <w:szCs w:val="28"/>
              </w:rPr>
            </w:pPr>
            <w:r>
              <w:rPr>
                <w:rFonts w:hint="eastAsia" w:ascii="黑体" w:hAnsi="黑体" w:eastAsia="黑体" w:cs="宋体"/>
                <w:bCs/>
                <w:kern w:val="0"/>
                <w:sz w:val="28"/>
                <w:szCs w:val="28"/>
              </w:rPr>
              <w:t>建设性质</w:t>
            </w:r>
          </w:p>
        </w:tc>
        <w:tc>
          <w:tcPr>
            <w:tcW w:w="737" w:type="pct"/>
            <w:tcBorders>
              <w:top w:val="single" w:color="auto" w:sz="4" w:space="0"/>
              <w:left w:val="single" w:color="auto" w:sz="4" w:space="0"/>
              <w:bottom w:val="single" w:color="000000" w:sz="4" w:space="0"/>
              <w:right w:val="single" w:color="auto" w:sz="4" w:space="0"/>
            </w:tcBorders>
            <w:vAlign w:val="center"/>
          </w:tcPr>
          <w:p>
            <w:pPr>
              <w:widowControl/>
              <w:spacing w:line="420" w:lineRule="exact"/>
              <w:jc w:val="center"/>
              <w:rPr>
                <w:rFonts w:ascii="黑体" w:hAnsi="黑体" w:eastAsia="黑体" w:cs="宋体"/>
                <w:bCs/>
                <w:kern w:val="0"/>
                <w:sz w:val="28"/>
                <w:szCs w:val="28"/>
              </w:rPr>
            </w:pPr>
            <w:r>
              <w:rPr>
                <w:rFonts w:hint="eastAsia" w:ascii="黑体" w:hAnsi="黑体" w:eastAsia="黑体" w:cs="宋体"/>
                <w:bCs/>
                <w:kern w:val="0"/>
                <w:sz w:val="28"/>
                <w:szCs w:val="28"/>
              </w:rPr>
              <w:t>前期工作情况</w:t>
            </w:r>
          </w:p>
        </w:tc>
        <w:tc>
          <w:tcPr>
            <w:tcW w:w="583" w:type="pct"/>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rPr>
                <w:rFonts w:ascii="黑体" w:hAnsi="黑体" w:eastAsia="黑体" w:cs="宋体"/>
                <w:bCs/>
                <w:kern w:val="0"/>
                <w:sz w:val="28"/>
                <w:szCs w:val="28"/>
              </w:rPr>
            </w:pPr>
            <w:r>
              <w:rPr>
                <w:rFonts w:hint="eastAsia" w:ascii="黑体" w:hAnsi="黑体" w:eastAsia="黑体" w:cs="宋体"/>
                <w:bCs/>
                <w:kern w:val="0"/>
                <w:sz w:val="28"/>
                <w:szCs w:val="28"/>
              </w:rPr>
              <w:t>治理河长（km）</w:t>
            </w:r>
          </w:p>
        </w:tc>
        <w:tc>
          <w:tcPr>
            <w:tcW w:w="529" w:type="pct"/>
            <w:tcBorders>
              <w:top w:val="single" w:color="auto" w:sz="4" w:space="0"/>
              <w:left w:val="single" w:color="auto" w:sz="4" w:space="0"/>
              <w:bottom w:val="single" w:color="000000" w:sz="4" w:space="0"/>
              <w:right w:val="single" w:color="auto" w:sz="4" w:space="0"/>
            </w:tcBorders>
            <w:vAlign w:val="center"/>
          </w:tcPr>
          <w:p>
            <w:pPr>
              <w:widowControl/>
              <w:spacing w:line="420" w:lineRule="exact"/>
              <w:jc w:val="center"/>
              <w:rPr>
                <w:rFonts w:ascii="黑体" w:hAnsi="黑体" w:eastAsia="黑体" w:cs="宋体"/>
                <w:bCs/>
                <w:kern w:val="0"/>
                <w:sz w:val="28"/>
                <w:szCs w:val="28"/>
              </w:rPr>
            </w:pPr>
            <w:r>
              <w:rPr>
                <w:rFonts w:hint="eastAsia" w:ascii="黑体" w:hAnsi="黑体" w:eastAsia="黑体" w:cs="宋体"/>
                <w:bCs/>
                <w:kern w:val="0"/>
                <w:sz w:val="28"/>
                <w:szCs w:val="28"/>
              </w:rPr>
              <w:t>十四五投资（亿元）</w:t>
            </w:r>
          </w:p>
        </w:tc>
      </w:tr>
      <w:tr>
        <w:tblPrEx>
          <w:tblCellMar>
            <w:top w:w="0" w:type="dxa"/>
            <w:left w:w="108" w:type="dxa"/>
            <w:bottom w:w="0" w:type="dxa"/>
            <w:right w:w="108" w:type="dxa"/>
          </w:tblCellMar>
        </w:tblPrEx>
        <w:trPr>
          <w:trHeight w:val="677" w:hRule="atLeast"/>
          <w:jc w:val="center"/>
        </w:trPr>
        <w:tc>
          <w:tcPr>
            <w:tcW w:w="380" w:type="pct"/>
            <w:tcBorders>
              <w:top w:val="single" w:color="auto" w:sz="4" w:space="0"/>
              <w:left w:val="single" w:color="auto" w:sz="4" w:space="0"/>
              <w:bottom w:val="single" w:color="auto" w:sz="4" w:space="0"/>
              <w:right w:val="single" w:color="auto" w:sz="4" w:space="0"/>
            </w:tcBorders>
            <w:vAlign w:val="center"/>
          </w:tcPr>
          <w:p>
            <w:pPr>
              <w:widowControl/>
              <w:spacing w:line="540" w:lineRule="exact"/>
              <w:jc w:val="center"/>
              <w:rPr>
                <w:rFonts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1</w:t>
            </w:r>
          </w:p>
        </w:tc>
        <w:tc>
          <w:tcPr>
            <w:tcW w:w="1511" w:type="pct"/>
            <w:tcBorders>
              <w:top w:val="nil"/>
              <w:left w:val="single" w:color="auto" w:sz="4" w:space="0"/>
              <w:bottom w:val="single" w:color="auto" w:sz="4" w:space="0"/>
              <w:right w:val="single" w:color="auto" w:sz="4" w:space="0"/>
            </w:tcBorders>
            <w:vAlign w:val="center"/>
          </w:tcPr>
          <w:p>
            <w:pPr>
              <w:spacing w:line="540" w:lineRule="exact"/>
              <w:rPr>
                <w:rFonts w:ascii="Times New Roman" w:hAnsi="Times New Roman" w:eastAsia="仿宋_GB2312" w:cs="宋体"/>
                <w:bCs/>
                <w:color w:val="000000"/>
                <w:sz w:val="28"/>
                <w:szCs w:val="28"/>
              </w:rPr>
            </w:pPr>
            <w:r>
              <w:rPr>
                <w:rFonts w:hint="eastAsia" w:ascii="Times New Roman" w:hAnsi="Times New Roman" w:eastAsia="仿宋_GB2312" w:cs="宋体"/>
                <w:bCs/>
                <w:color w:val="000000"/>
                <w:sz w:val="28"/>
                <w:szCs w:val="28"/>
              </w:rPr>
              <w:t>新开河河道治理工程</w:t>
            </w:r>
          </w:p>
        </w:tc>
        <w:tc>
          <w:tcPr>
            <w:tcW w:w="523" w:type="pct"/>
            <w:tcBorders>
              <w:top w:val="nil"/>
              <w:left w:val="nil"/>
              <w:bottom w:val="single" w:color="auto" w:sz="4" w:space="0"/>
              <w:right w:val="single" w:color="auto" w:sz="4" w:space="0"/>
            </w:tcBorders>
            <w:vAlign w:val="center"/>
          </w:tcPr>
          <w:p>
            <w:pPr>
              <w:widowControl/>
              <w:spacing w:line="540" w:lineRule="exact"/>
              <w:jc w:val="center"/>
              <w:textAlignment w:val="center"/>
              <w:rPr>
                <w:rFonts w:ascii="Times New Roman" w:hAnsi="Times New Roman" w:eastAsia="仿宋_GB2312" w:cs="宋体"/>
                <w:bCs/>
                <w:kern w:val="0"/>
                <w:sz w:val="28"/>
                <w:szCs w:val="28"/>
              </w:rPr>
            </w:pPr>
            <w:r>
              <w:rPr>
                <w:rFonts w:hint="eastAsia" w:ascii="Times New Roman" w:hAnsi="Times New Roman" w:eastAsia="仿宋_GB2312" w:cs="宋体"/>
                <w:bCs/>
                <w:color w:val="000000"/>
                <w:kern w:val="0"/>
                <w:sz w:val="28"/>
                <w:szCs w:val="28"/>
              </w:rPr>
              <w:t>A</w:t>
            </w:r>
          </w:p>
        </w:tc>
        <w:tc>
          <w:tcPr>
            <w:tcW w:w="737" w:type="pct"/>
            <w:tcBorders>
              <w:top w:val="nil"/>
              <w:left w:val="nil"/>
              <w:bottom w:val="single" w:color="auto" w:sz="4" w:space="0"/>
              <w:right w:val="single" w:color="auto" w:sz="4" w:space="0"/>
            </w:tcBorders>
            <w:vAlign w:val="center"/>
          </w:tcPr>
          <w:p>
            <w:pPr>
              <w:widowControl/>
              <w:spacing w:line="540" w:lineRule="exact"/>
              <w:jc w:val="center"/>
              <w:rPr>
                <w:rFonts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改、扩建</w:t>
            </w:r>
          </w:p>
        </w:tc>
        <w:tc>
          <w:tcPr>
            <w:tcW w:w="737" w:type="pct"/>
            <w:tcBorders>
              <w:top w:val="nil"/>
              <w:left w:val="nil"/>
              <w:bottom w:val="single" w:color="auto" w:sz="4" w:space="0"/>
              <w:right w:val="single" w:color="auto" w:sz="4" w:space="0"/>
            </w:tcBorders>
            <w:noWrap/>
            <w:vAlign w:val="center"/>
          </w:tcPr>
          <w:p>
            <w:pPr>
              <w:widowControl/>
              <w:spacing w:line="540" w:lineRule="exact"/>
              <w:jc w:val="center"/>
              <w:rPr>
                <w:rFonts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初设</w:t>
            </w:r>
          </w:p>
        </w:tc>
        <w:tc>
          <w:tcPr>
            <w:tcW w:w="583" w:type="pct"/>
            <w:tcBorders>
              <w:top w:val="nil"/>
              <w:left w:val="nil"/>
              <w:bottom w:val="single" w:color="auto" w:sz="4" w:space="0"/>
              <w:right w:val="single" w:color="auto" w:sz="4" w:space="0"/>
            </w:tcBorders>
            <w:vAlign w:val="center"/>
          </w:tcPr>
          <w:p>
            <w:pPr>
              <w:widowControl/>
              <w:spacing w:line="540" w:lineRule="exact"/>
              <w:jc w:val="center"/>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155</w:t>
            </w:r>
          </w:p>
        </w:tc>
        <w:tc>
          <w:tcPr>
            <w:tcW w:w="529" w:type="pct"/>
            <w:tcBorders>
              <w:top w:val="nil"/>
              <w:left w:val="nil"/>
              <w:bottom w:val="single" w:color="auto" w:sz="4" w:space="0"/>
              <w:right w:val="single" w:color="auto" w:sz="4" w:space="0"/>
            </w:tcBorders>
            <w:vAlign w:val="center"/>
          </w:tcPr>
          <w:p>
            <w:pPr>
              <w:widowControl/>
              <w:spacing w:line="540" w:lineRule="exact"/>
              <w:jc w:val="center"/>
              <w:textAlignment w:val="center"/>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1.2</w:t>
            </w:r>
          </w:p>
        </w:tc>
      </w:tr>
      <w:tr>
        <w:tblPrEx>
          <w:tblCellMar>
            <w:top w:w="0" w:type="dxa"/>
            <w:left w:w="108" w:type="dxa"/>
            <w:bottom w:w="0" w:type="dxa"/>
            <w:right w:w="108" w:type="dxa"/>
          </w:tblCellMar>
        </w:tblPrEx>
        <w:trPr>
          <w:trHeight w:val="701" w:hRule="atLeast"/>
          <w:jc w:val="center"/>
        </w:trPr>
        <w:tc>
          <w:tcPr>
            <w:tcW w:w="380" w:type="pct"/>
            <w:tcBorders>
              <w:top w:val="nil"/>
              <w:left w:val="single" w:color="auto" w:sz="4" w:space="0"/>
              <w:bottom w:val="single" w:color="auto" w:sz="4" w:space="0"/>
              <w:right w:val="single" w:color="auto" w:sz="4" w:space="0"/>
            </w:tcBorders>
            <w:vAlign w:val="center"/>
          </w:tcPr>
          <w:p>
            <w:pPr>
              <w:widowControl/>
              <w:spacing w:line="540" w:lineRule="exact"/>
              <w:jc w:val="center"/>
              <w:rPr>
                <w:rFonts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2</w:t>
            </w:r>
          </w:p>
        </w:tc>
        <w:tc>
          <w:tcPr>
            <w:tcW w:w="1511" w:type="pct"/>
            <w:tcBorders>
              <w:top w:val="nil"/>
              <w:left w:val="single" w:color="auto" w:sz="4" w:space="0"/>
              <w:bottom w:val="single" w:color="auto" w:sz="4" w:space="0"/>
              <w:right w:val="single" w:color="auto" w:sz="4" w:space="0"/>
            </w:tcBorders>
            <w:vAlign w:val="center"/>
          </w:tcPr>
          <w:p>
            <w:pPr>
              <w:spacing w:line="540" w:lineRule="exact"/>
              <w:rPr>
                <w:rFonts w:ascii="Times New Roman" w:hAnsi="Times New Roman" w:eastAsia="仿宋_GB2312" w:cs="宋体"/>
                <w:bCs/>
                <w:color w:val="000000"/>
                <w:sz w:val="28"/>
                <w:szCs w:val="28"/>
              </w:rPr>
            </w:pPr>
            <w:r>
              <w:rPr>
                <w:rFonts w:hint="eastAsia" w:ascii="Times New Roman" w:hAnsi="Times New Roman" w:eastAsia="仿宋_GB2312" w:cs="宋体"/>
                <w:bCs/>
                <w:color w:val="000000"/>
                <w:sz w:val="28"/>
                <w:szCs w:val="28"/>
              </w:rPr>
              <w:t>教来河河道治理工程</w:t>
            </w:r>
          </w:p>
        </w:tc>
        <w:tc>
          <w:tcPr>
            <w:tcW w:w="523" w:type="pct"/>
            <w:tcBorders>
              <w:top w:val="nil"/>
              <w:left w:val="nil"/>
              <w:bottom w:val="single" w:color="auto" w:sz="4" w:space="0"/>
              <w:right w:val="single" w:color="auto" w:sz="4" w:space="0"/>
            </w:tcBorders>
            <w:vAlign w:val="center"/>
          </w:tcPr>
          <w:p>
            <w:pPr>
              <w:widowControl/>
              <w:spacing w:line="540" w:lineRule="exact"/>
              <w:jc w:val="center"/>
              <w:textAlignment w:val="center"/>
              <w:rPr>
                <w:rFonts w:ascii="Times New Roman" w:hAnsi="Times New Roman" w:eastAsia="仿宋_GB2312" w:cs="宋体"/>
                <w:bCs/>
                <w:kern w:val="0"/>
                <w:sz w:val="28"/>
                <w:szCs w:val="28"/>
              </w:rPr>
            </w:pPr>
            <w:r>
              <w:rPr>
                <w:rFonts w:hint="eastAsia" w:ascii="Times New Roman" w:hAnsi="Times New Roman" w:eastAsia="仿宋_GB2312" w:cs="宋体"/>
                <w:bCs/>
                <w:color w:val="000000"/>
                <w:kern w:val="0"/>
                <w:sz w:val="28"/>
                <w:szCs w:val="28"/>
              </w:rPr>
              <w:t>B</w:t>
            </w:r>
          </w:p>
        </w:tc>
        <w:tc>
          <w:tcPr>
            <w:tcW w:w="737" w:type="pct"/>
            <w:tcBorders>
              <w:top w:val="nil"/>
              <w:left w:val="nil"/>
              <w:bottom w:val="single" w:color="auto" w:sz="4" w:space="0"/>
              <w:right w:val="single" w:color="auto" w:sz="4" w:space="0"/>
            </w:tcBorders>
            <w:vAlign w:val="center"/>
          </w:tcPr>
          <w:p>
            <w:pPr>
              <w:widowControl/>
              <w:spacing w:line="540" w:lineRule="exact"/>
              <w:jc w:val="center"/>
              <w:rPr>
                <w:rFonts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改、扩建</w:t>
            </w:r>
          </w:p>
        </w:tc>
        <w:tc>
          <w:tcPr>
            <w:tcW w:w="737" w:type="pct"/>
            <w:tcBorders>
              <w:top w:val="nil"/>
              <w:left w:val="nil"/>
              <w:bottom w:val="single" w:color="auto" w:sz="4" w:space="0"/>
              <w:right w:val="single" w:color="auto" w:sz="4" w:space="0"/>
            </w:tcBorders>
            <w:noWrap/>
            <w:vAlign w:val="center"/>
          </w:tcPr>
          <w:p>
            <w:pPr>
              <w:widowControl/>
              <w:spacing w:line="540" w:lineRule="exact"/>
              <w:jc w:val="center"/>
              <w:rPr>
                <w:rFonts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可研阶段</w:t>
            </w:r>
          </w:p>
        </w:tc>
        <w:tc>
          <w:tcPr>
            <w:tcW w:w="583" w:type="pct"/>
            <w:tcBorders>
              <w:top w:val="nil"/>
              <w:left w:val="nil"/>
              <w:bottom w:val="single" w:color="auto" w:sz="4" w:space="0"/>
              <w:right w:val="single" w:color="auto" w:sz="4" w:space="0"/>
            </w:tcBorders>
            <w:vAlign w:val="center"/>
          </w:tcPr>
          <w:p>
            <w:pPr>
              <w:widowControl/>
              <w:spacing w:line="540" w:lineRule="exact"/>
              <w:jc w:val="center"/>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32.1</w:t>
            </w:r>
          </w:p>
        </w:tc>
        <w:tc>
          <w:tcPr>
            <w:tcW w:w="529" w:type="pct"/>
            <w:tcBorders>
              <w:top w:val="nil"/>
              <w:left w:val="nil"/>
              <w:bottom w:val="single" w:color="auto" w:sz="4" w:space="0"/>
              <w:right w:val="single" w:color="auto" w:sz="4" w:space="0"/>
            </w:tcBorders>
            <w:vAlign w:val="center"/>
          </w:tcPr>
          <w:p>
            <w:pPr>
              <w:widowControl/>
              <w:spacing w:line="540" w:lineRule="exact"/>
              <w:jc w:val="center"/>
              <w:textAlignment w:val="center"/>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0.3</w:t>
            </w:r>
          </w:p>
        </w:tc>
      </w:tr>
      <w:tr>
        <w:tblPrEx>
          <w:tblCellMar>
            <w:top w:w="0" w:type="dxa"/>
            <w:left w:w="108" w:type="dxa"/>
            <w:bottom w:w="0" w:type="dxa"/>
            <w:right w:w="108" w:type="dxa"/>
          </w:tblCellMar>
        </w:tblPrEx>
        <w:trPr>
          <w:trHeight w:val="711" w:hRule="atLeast"/>
          <w:jc w:val="center"/>
        </w:trPr>
        <w:tc>
          <w:tcPr>
            <w:tcW w:w="380" w:type="pct"/>
            <w:tcBorders>
              <w:top w:val="nil"/>
              <w:left w:val="single" w:color="auto" w:sz="4" w:space="0"/>
              <w:bottom w:val="single" w:color="auto" w:sz="4" w:space="0"/>
              <w:right w:val="single" w:color="auto" w:sz="4" w:space="0"/>
            </w:tcBorders>
            <w:vAlign w:val="center"/>
          </w:tcPr>
          <w:p>
            <w:pPr>
              <w:widowControl/>
              <w:spacing w:line="540" w:lineRule="exact"/>
              <w:jc w:val="center"/>
              <w:rPr>
                <w:rFonts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3</w:t>
            </w:r>
          </w:p>
        </w:tc>
        <w:tc>
          <w:tcPr>
            <w:tcW w:w="1511" w:type="pct"/>
            <w:tcBorders>
              <w:top w:val="nil"/>
              <w:left w:val="single" w:color="auto" w:sz="4" w:space="0"/>
              <w:bottom w:val="single" w:color="auto" w:sz="4" w:space="0"/>
              <w:right w:val="single" w:color="auto" w:sz="4" w:space="0"/>
            </w:tcBorders>
            <w:vAlign w:val="center"/>
          </w:tcPr>
          <w:p>
            <w:pPr>
              <w:spacing w:line="540" w:lineRule="exact"/>
              <w:rPr>
                <w:rFonts w:ascii="Times New Roman" w:hAnsi="Times New Roman" w:eastAsia="仿宋_GB2312" w:cs="宋体"/>
                <w:bCs/>
                <w:color w:val="000000"/>
                <w:sz w:val="28"/>
                <w:szCs w:val="28"/>
              </w:rPr>
            </w:pPr>
            <w:r>
              <w:rPr>
                <w:rFonts w:hint="eastAsia" w:ascii="宋体" w:hAnsi="宋体" w:cs="宋体"/>
                <w:bCs/>
                <w:color w:val="000000"/>
                <w:sz w:val="28"/>
                <w:szCs w:val="28"/>
              </w:rPr>
              <w:t>牤</w:t>
            </w:r>
            <w:r>
              <w:rPr>
                <w:rFonts w:hint="eastAsia" w:ascii="Times New Roman" w:hAnsi="Times New Roman" w:eastAsia="仿宋_GB2312" w:cs="宋体"/>
                <w:bCs/>
                <w:color w:val="000000"/>
                <w:sz w:val="28"/>
                <w:szCs w:val="28"/>
              </w:rPr>
              <w:t>牛河河道治理工程</w:t>
            </w:r>
          </w:p>
        </w:tc>
        <w:tc>
          <w:tcPr>
            <w:tcW w:w="523" w:type="pct"/>
            <w:tcBorders>
              <w:top w:val="nil"/>
              <w:left w:val="nil"/>
              <w:bottom w:val="single" w:color="auto" w:sz="4" w:space="0"/>
              <w:right w:val="single" w:color="auto" w:sz="4" w:space="0"/>
            </w:tcBorders>
            <w:vAlign w:val="center"/>
          </w:tcPr>
          <w:p>
            <w:pPr>
              <w:widowControl/>
              <w:spacing w:line="540" w:lineRule="exact"/>
              <w:jc w:val="center"/>
              <w:textAlignment w:val="center"/>
              <w:rPr>
                <w:rFonts w:ascii="Times New Roman" w:hAnsi="Times New Roman" w:eastAsia="仿宋_GB2312" w:cs="宋体"/>
                <w:bCs/>
                <w:kern w:val="0"/>
                <w:sz w:val="28"/>
                <w:szCs w:val="28"/>
              </w:rPr>
            </w:pPr>
            <w:r>
              <w:rPr>
                <w:rFonts w:hint="eastAsia" w:ascii="Times New Roman" w:hAnsi="Times New Roman" w:eastAsia="仿宋_GB2312" w:cs="宋体"/>
                <w:bCs/>
                <w:color w:val="000000"/>
                <w:kern w:val="0"/>
                <w:sz w:val="28"/>
                <w:szCs w:val="28"/>
              </w:rPr>
              <w:t>B</w:t>
            </w:r>
          </w:p>
        </w:tc>
        <w:tc>
          <w:tcPr>
            <w:tcW w:w="737" w:type="pct"/>
            <w:tcBorders>
              <w:top w:val="nil"/>
              <w:left w:val="nil"/>
              <w:bottom w:val="single" w:color="auto" w:sz="4" w:space="0"/>
              <w:right w:val="single" w:color="auto" w:sz="4" w:space="0"/>
            </w:tcBorders>
            <w:vAlign w:val="center"/>
          </w:tcPr>
          <w:p>
            <w:pPr>
              <w:widowControl/>
              <w:spacing w:line="540" w:lineRule="exact"/>
              <w:jc w:val="center"/>
              <w:rPr>
                <w:rFonts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改、扩建</w:t>
            </w:r>
          </w:p>
        </w:tc>
        <w:tc>
          <w:tcPr>
            <w:tcW w:w="737" w:type="pct"/>
            <w:tcBorders>
              <w:top w:val="nil"/>
              <w:left w:val="nil"/>
              <w:bottom w:val="single" w:color="auto" w:sz="4" w:space="0"/>
              <w:right w:val="single" w:color="auto" w:sz="4" w:space="0"/>
            </w:tcBorders>
            <w:noWrap/>
            <w:vAlign w:val="center"/>
          </w:tcPr>
          <w:p>
            <w:pPr>
              <w:widowControl/>
              <w:spacing w:line="540" w:lineRule="exact"/>
              <w:jc w:val="center"/>
              <w:rPr>
                <w:rFonts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规划</w:t>
            </w:r>
          </w:p>
        </w:tc>
        <w:tc>
          <w:tcPr>
            <w:tcW w:w="583" w:type="pct"/>
            <w:tcBorders>
              <w:top w:val="nil"/>
              <w:left w:val="nil"/>
              <w:bottom w:val="single" w:color="auto" w:sz="4" w:space="0"/>
              <w:right w:val="single" w:color="auto" w:sz="4" w:space="0"/>
            </w:tcBorders>
            <w:vAlign w:val="center"/>
          </w:tcPr>
          <w:p>
            <w:pPr>
              <w:widowControl/>
              <w:spacing w:line="540" w:lineRule="exact"/>
              <w:jc w:val="center"/>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22</w:t>
            </w:r>
          </w:p>
        </w:tc>
        <w:tc>
          <w:tcPr>
            <w:tcW w:w="529" w:type="pct"/>
            <w:tcBorders>
              <w:top w:val="nil"/>
              <w:left w:val="nil"/>
              <w:bottom w:val="single" w:color="auto" w:sz="4" w:space="0"/>
              <w:right w:val="single" w:color="auto" w:sz="4" w:space="0"/>
            </w:tcBorders>
            <w:vAlign w:val="center"/>
          </w:tcPr>
          <w:p>
            <w:pPr>
              <w:widowControl/>
              <w:spacing w:line="540" w:lineRule="exact"/>
              <w:jc w:val="center"/>
              <w:textAlignment w:val="center"/>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1.54</w:t>
            </w:r>
          </w:p>
        </w:tc>
      </w:tr>
      <w:tr>
        <w:tblPrEx>
          <w:tblCellMar>
            <w:top w:w="0" w:type="dxa"/>
            <w:left w:w="108" w:type="dxa"/>
            <w:bottom w:w="0" w:type="dxa"/>
            <w:right w:w="108" w:type="dxa"/>
          </w:tblCellMar>
        </w:tblPrEx>
        <w:trPr>
          <w:trHeight w:val="693" w:hRule="atLeast"/>
          <w:jc w:val="center"/>
        </w:trPr>
        <w:tc>
          <w:tcPr>
            <w:tcW w:w="380" w:type="pct"/>
            <w:tcBorders>
              <w:top w:val="nil"/>
              <w:left w:val="single" w:color="auto" w:sz="4" w:space="0"/>
              <w:bottom w:val="single" w:color="auto" w:sz="4" w:space="0"/>
              <w:right w:val="single" w:color="auto" w:sz="4" w:space="0"/>
            </w:tcBorders>
            <w:vAlign w:val="center"/>
          </w:tcPr>
          <w:p>
            <w:pPr>
              <w:widowControl/>
              <w:spacing w:line="540" w:lineRule="exact"/>
              <w:jc w:val="center"/>
              <w:rPr>
                <w:rFonts w:ascii="Times New Roman" w:hAnsi="Times New Roman" w:eastAsia="仿宋_GB2312" w:cs="宋体"/>
                <w:bCs/>
                <w:color w:val="000000"/>
                <w:kern w:val="0"/>
                <w:sz w:val="28"/>
                <w:szCs w:val="28"/>
              </w:rPr>
            </w:pPr>
          </w:p>
        </w:tc>
        <w:tc>
          <w:tcPr>
            <w:tcW w:w="1511" w:type="pct"/>
            <w:tcBorders>
              <w:top w:val="nil"/>
              <w:left w:val="single" w:color="auto" w:sz="4" w:space="0"/>
              <w:bottom w:val="single" w:color="auto" w:sz="4" w:space="0"/>
              <w:right w:val="single" w:color="auto" w:sz="4" w:space="0"/>
            </w:tcBorders>
            <w:vAlign w:val="center"/>
          </w:tcPr>
          <w:p>
            <w:pPr>
              <w:widowControl/>
              <w:spacing w:line="540" w:lineRule="exact"/>
              <w:jc w:val="center"/>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合计</w:t>
            </w:r>
          </w:p>
        </w:tc>
        <w:tc>
          <w:tcPr>
            <w:tcW w:w="523" w:type="pct"/>
            <w:tcBorders>
              <w:top w:val="nil"/>
              <w:left w:val="nil"/>
              <w:bottom w:val="single" w:color="auto" w:sz="4" w:space="0"/>
              <w:right w:val="single" w:color="auto" w:sz="4" w:space="0"/>
            </w:tcBorders>
            <w:noWrap/>
            <w:vAlign w:val="center"/>
          </w:tcPr>
          <w:p>
            <w:pPr>
              <w:widowControl/>
              <w:spacing w:line="540" w:lineRule="exact"/>
              <w:jc w:val="left"/>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　</w:t>
            </w:r>
          </w:p>
        </w:tc>
        <w:tc>
          <w:tcPr>
            <w:tcW w:w="737" w:type="pct"/>
            <w:tcBorders>
              <w:top w:val="nil"/>
              <w:left w:val="nil"/>
              <w:bottom w:val="single" w:color="auto" w:sz="4" w:space="0"/>
              <w:right w:val="single" w:color="auto" w:sz="4" w:space="0"/>
            </w:tcBorders>
            <w:noWrap/>
            <w:vAlign w:val="center"/>
          </w:tcPr>
          <w:p>
            <w:pPr>
              <w:widowControl/>
              <w:spacing w:line="540" w:lineRule="exact"/>
              <w:jc w:val="left"/>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　</w:t>
            </w:r>
          </w:p>
        </w:tc>
        <w:tc>
          <w:tcPr>
            <w:tcW w:w="737" w:type="pct"/>
            <w:tcBorders>
              <w:top w:val="nil"/>
              <w:left w:val="nil"/>
              <w:bottom w:val="single" w:color="auto" w:sz="4" w:space="0"/>
              <w:right w:val="single" w:color="auto" w:sz="4" w:space="0"/>
            </w:tcBorders>
            <w:noWrap/>
            <w:vAlign w:val="center"/>
          </w:tcPr>
          <w:p>
            <w:pPr>
              <w:widowControl/>
              <w:spacing w:line="540" w:lineRule="exact"/>
              <w:jc w:val="left"/>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　</w:t>
            </w:r>
          </w:p>
        </w:tc>
        <w:tc>
          <w:tcPr>
            <w:tcW w:w="583" w:type="pct"/>
            <w:tcBorders>
              <w:top w:val="nil"/>
              <w:left w:val="nil"/>
              <w:bottom w:val="single" w:color="auto" w:sz="4" w:space="0"/>
              <w:right w:val="single" w:color="auto" w:sz="4" w:space="0"/>
            </w:tcBorders>
            <w:noWrap/>
            <w:vAlign w:val="center"/>
          </w:tcPr>
          <w:p>
            <w:pPr>
              <w:widowControl/>
              <w:spacing w:line="540" w:lineRule="exact"/>
              <w:jc w:val="left"/>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　</w:t>
            </w:r>
          </w:p>
        </w:tc>
        <w:tc>
          <w:tcPr>
            <w:tcW w:w="529" w:type="pct"/>
            <w:tcBorders>
              <w:top w:val="nil"/>
              <w:left w:val="nil"/>
              <w:bottom w:val="single" w:color="auto" w:sz="4" w:space="0"/>
              <w:right w:val="single" w:color="auto" w:sz="4" w:space="0"/>
            </w:tcBorders>
            <w:noWrap/>
            <w:vAlign w:val="center"/>
          </w:tcPr>
          <w:p>
            <w:pPr>
              <w:widowControl/>
              <w:spacing w:line="540" w:lineRule="exact"/>
              <w:jc w:val="center"/>
              <w:rPr>
                <w:rFonts w:ascii="Times New Roman" w:hAnsi="Times New Roman" w:eastAsia="仿宋_GB2312" w:cs="宋体"/>
                <w:bCs/>
                <w:color w:val="000000"/>
                <w:kern w:val="0"/>
                <w:sz w:val="28"/>
                <w:szCs w:val="28"/>
              </w:rPr>
            </w:pPr>
            <w:r>
              <w:rPr>
                <w:rFonts w:hint="eastAsia" w:ascii="Times New Roman" w:hAnsi="Times New Roman" w:eastAsia="仿宋_GB2312" w:cs="宋体"/>
                <w:bCs/>
                <w:color w:val="000000"/>
                <w:kern w:val="0"/>
                <w:sz w:val="28"/>
                <w:szCs w:val="28"/>
              </w:rPr>
              <w:t>3.04</w:t>
            </w:r>
          </w:p>
        </w:tc>
      </w:tr>
    </w:tbl>
    <w:p>
      <w:pPr>
        <w:spacing w:line="540" w:lineRule="exact"/>
        <w:jc w:val="center"/>
        <w:rPr>
          <w:rFonts w:hint="eastAsia" w:ascii="Times New Roman" w:hAnsi="Times New Roman" w:eastAsia="黑体" w:cs="仿宋_GB2312"/>
          <w:sz w:val="32"/>
          <w:szCs w:val="32"/>
          <w:lang w:val="zh-TW"/>
        </w:rPr>
      </w:pPr>
      <w:r>
        <w:rPr>
          <w:rFonts w:hint="eastAsia" w:ascii="Times New Roman" w:hAnsi="Times New Roman" w:eastAsia="黑体" w:cs="仿宋_GB2312"/>
          <w:sz w:val="32"/>
          <w:szCs w:val="32"/>
          <w:lang w:val="zh-TW"/>
        </w:rPr>
        <w:t>表3-5  流域面积200—3000平方公里中小河流治理工程</w:t>
      </w:r>
    </w:p>
    <w:tbl>
      <w:tblPr>
        <w:tblStyle w:val="8"/>
        <w:tblW w:w="5432" w:type="pct"/>
        <w:tblInd w:w="-269" w:type="dxa"/>
        <w:tblLayout w:type="fixed"/>
        <w:tblCellMar>
          <w:top w:w="0" w:type="dxa"/>
          <w:left w:w="0" w:type="dxa"/>
          <w:bottom w:w="0" w:type="dxa"/>
          <w:right w:w="0" w:type="dxa"/>
        </w:tblCellMar>
      </w:tblPr>
      <w:tblGrid>
        <w:gridCol w:w="566"/>
        <w:gridCol w:w="3120"/>
        <w:gridCol w:w="517"/>
        <w:gridCol w:w="1184"/>
        <w:gridCol w:w="1001"/>
        <w:gridCol w:w="935"/>
        <w:gridCol w:w="2318"/>
      </w:tblGrid>
      <w:tr>
        <w:tblPrEx>
          <w:tblCellMar>
            <w:top w:w="0" w:type="dxa"/>
            <w:left w:w="0" w:type="dxa"/>
            <w:bottom w:w="0" w:type="dxa"/>
            <w:right w:w="0" w:type="dxa"/>
          </w:tblCellMar>
        </w:tblPrEx>
        <w:trPr>
          <w:trHeight w:val="359" w:hRule="atLeast"/>
        </w:trPr>
        <w:tc>
          <w:tcPr>
            <w:tcW w:w="29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黑体" w:hAnsi="黑体" w:eastAsia="黑体" w:cs="宋体"/>
                <w:bCs/>
                <w:kern w:val="0"/>
                <w:sz w:val="28"/>
                <w:szCs w:val="28"/>
              </w:rPr>
            </w:pPr>
            <w:r>
              <w:rPr>
                <w:rFonts w:hint="eastAsia" w:ascii="黑体" w:hAnsi="黑体" w:eastAsia="黑体" w:cs="宋体"/>
                <w:bCs/>
                <w:kern w:val="0"/>
                <w:sz w:val="28"/>
                <w:szCs w:val="28"/>
              </w:rPr>
              <w:t>序号</w:t>
            </w:r>
          </w:p>
        </w:tc>
        <w:tc>
          <w:tcPr>
            <w:tcW w:w="161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黑体" w:hAnsi="黑体" w:eastAsia="黑体" w:cs="宋体"/>
                <w:bCs/>
                <w:kern w:val="0"/>
                <w:sz w:val="28"/>
                <w:szCs w:val="28"/>
              </w:rPr>
            </w:pPr>
            <w:r>
              <w:rPr>
                <w:rFonts w:hint="eastAsia" w:ascii="黑体" w:hAnsi="黑体" w:eastAsia="黑体" w:cs="宋体"/>
                <w:bCs/>
                <w:kern w:val="0"/>
                <w:sz w:val="28"/>
                <w:szCs w:val="28"/>
              </w:rPr>
              <w:t>项目名称</w:t>
            </w:r>
          </w:p>
        </w:tc>
        <w:tc>
          <w:tcPr>
            <w:tcW w:w="26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黑体" w:hAnsi="黑体" w:eastAsia="黑体" w:cs="宋体"/>
                <w:bCs/>
                <w:kern w:val="0"/>
                <w:sz w:val="28"/>
                <w:szCs w:val="28"/>
              </w:rPr>
            </w:pPr>
            <w:r>
              <w:rPr>
                <w:rFonts w:hint="eastAsia" w:ascii="黑体" w:hAnsi="黑体" w:eastAsia="黑体" w:cs="宋体"/>
                <w:bCs/>
                <w:kern w:val="0"/>
                <w:sz w:val="28"/>
                <w:szCs w:val="28"/>
              </w:rPr>
              <w:t>类别</w:t>
            </w:r>
          </w:p>
        </w:tc>
        <w:tc>
          <w:tcPr>
            <w:tcW w:w="61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00" w:lineRule="exact"/>
              <w:jc w:val="center"/>
              <w:rPr>
                <w:rFonts w:hint="eastAsia" w:ascii="黑体" w:hAnsi="黑体" w:eastAsia="黑体" w:cs="宋体"/>
                <w:bCs/>
                <w:kern w:val="0"/>
                <w:sz w:val="28"/>
                <w:szCs w:val="28"/>
              </w:rPr>
            </w:pPr>
            <w:r>
              <w:rPr>
                <w:rFonts w:hint="eastAsia" w:ascii="黑体" w:hAnsi="黑体" w:eastAsia="黑体" w:cs="宋体"/>
                <w:bCs/>
                <w:kern w:val="0"/>
                <w:sz w:val="28"/>
                <w:szCs w:val="28"/>
              </w:rPr>
              <w:t>建设性质</w:t>
            </w:r>
          </w:p>
        </w:tc>
        <w:tc>
          <w:tcPr>
            <w:tcW w:w="519"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黑体" w:hAnsi="黑体" w:eastAsia="黑体" w:cs="宋体"/>
                <w:bCs/>
                <w:kern w:val="0"/>
                <w:sz w:val="28"/>
                <w:szCs w:val="28"/>
              </w:rPr>
            </w:pPr>
            <w:r>
              <w:rPr>
                <w:rFonts w:hint="eastAsia" w:ascii="黑体" w:hAnsi="黑体" w:eastAsia="黑体" w:cs="宋体"/>
                <w:bCs/>
                <w:kern w:val="0"/>
                <w:sz w:val="28"/>
                <w:szCs w:val="28"/>
              </w:rPr>
              <w:t>前期工作情况</w:t>
            </w:r>
          </w:p>
        </w:tc>
        <w:tc>
          <w:tcPr>
            <w:tcW w:w="48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黑体" w:hAnsi="黑体" w:eastAsia="黑体" w:cs="宋体"/>
                <w:bCs/>
                <w:kern w:val="0"/>
                <w:sz w:val="28"/>
                <w:szCs w:val="28"/>
              </w:rPr>
            </w:pPr>
            <w:r>
              <w:rPr>
                <w:rFonts w:hint="eastAsia" w:ascii="黑体" w:hAnsi="黑体" w:eastAsia="黑体" w:cs="宋体"/>
                <w:bCs/>
                <w:kern w:val="0"/>
                <w:sz w:val="28"/>
                <w:szCs w:val="28"/>
              </w:rPr>
              <w:t>治理河长</w:t>
            </w:r>
          </w:p>
        </w:tc>
        <w:tc>
          <w:tcPr>
            <w:tcW w:w="120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黑体" w:hAnsi="黑体" w:eastAsia="黑体" w:cs="宋体"/>
                <w:bCs/>
                <w:kern w:val="0"/>
                <w:sz w:val="28"/>
                <w:szCs w:val="28"/>
              </w:rPr>
            </w:pPr>
            <w:r>
              <w:rPr>
                <w:rFonts w:hint="eastAsia" w:ascii="黑体" w:hAnsi="黑体" w:eastAsia="黑体" w:cs="宋体"/>
                <w:bCs/>
                <w:kern w:val="0"/>
                <w:sz w:val="28"/>
                <w:szCs w:val="28"/>
              </w:rPr>
              <w:t>十四五投资（亿元）</w:t>
            </w:r>
          </w:p>
        </w:tc>
      </w:tr>
      <w:tr>
        <w:tblPrEx>
          <w:tblCellMar>
            <w:top w:w="0" w:type="dxa"/>
            <w:left w:w="0" w:type="dxa"/>
            <w:bottom w:w="0" w:type="dxa"/>
            <w:right w:w="0" w:type="dxa"/>
          </w:tblCellMar>
        </w:tblPrEx>
        <w:trPr>
          <w:trHeight w:val="678" w:hRule="atLeast"/>
        </w:trPr>
        <w:tc>
          <w:tcPr>
            <w:tcW w:w="29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1</w:t>
            </w:r>
          </w:p>
        </w:tc>
        <w:tc>
          <w:tcPr>
            <w:tcW w:w="161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浑迪音河河道治理项目</w:t>
            </w:r>
          </w:p>
        </w:tc>
        <w:tc>
          <w:tcPr>
            <w:tcW w:w="26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A</w:t>
            </w:r>
          </w:p>
        </w:tc>
        <w:tc>
          <w:tcPr>
            <w:tcW w:w="61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改、扩建</w:t>
            </w:r>
          </w:p>
        </w:tc>
        <w:tc>
          <w:tcPr>
            <w:tcW w:w="51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规划</w:t>
            </w:r>
          </w:p>
        </w:tc>
        <w:tc>
          <w:tcPr>
            <w:tcW w:w="48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6.4</w:t>
            </w:r>
          </w:p>
        </w:tc>
        <w:tc>
          <w:tcPr>
            <w:tcW w:w="120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0.16</w:t>
            </w:r>
          </w:p>
        </w:tc>
      </w:tr>
      <w:tr>
        <w:tblPrEx>
          <w:tblCellMar>
            <w:top w:w="0" w:type="dxa"/>
            <w:left w:w="0" w:type="dxa"/>
            <w:bottom w:w="0" w:type="dxa"/>
            <w:right w:w="0" w:type="dxa"/>
          </w:tblCellMar>
        </w:tblPrEx>
        <w:trPr>
          <w:trHeight w:val="686" w:hRule="atLeast"/>
        </w:trPr>
        <w:tc>
          <w:tcPr>
            <w:tcW w:w="29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2</w:t>
            </w:r>
          </w:p>
        </w:tc>
        <w:tc>
          <w:tcPr>
            <w:tcW w:w="161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鲁北河河道治理项目</w:t>
            </w:r>
          </w:p>
        </w:tc>
        <w:tc>
          <w:tcPr>
            <w:tcW w:w="26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A</w:t>
            </w:r>
          </w:p>
        </w:tc>
        <w:tc>
          <w:tcPr>
            <w:tcW w:w="61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改、扩建</w:t>
            </w:r>
          </w:p>
        </w:tc>
        <w:tc>
          <w:tcPr>
            <w:tcW w:w="519"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规划</w:t>
            </w:r>
          </w:p>
        </w:tc>
        <w:tc>
          <w:tcPr>
            <w:tcW w:w="48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 xml:space="preserve">23.5 </w:t>
            </w:r>
          </w:p>
        </w:tc>
        <w:tc>
          <w:tcPr>
            <w:tcW w:w="120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0.82</w:t>
            </w:r>
          </w:p>
        </w:tc>
      </w:tr>
      <w:tr>
        <w:tblPrEx>
          <w:tblCellMar>
            <w:top w:w="0" w:type="dxa"/>
            <w:left w:w="0" w:type="dxa"/>
            <w:bottom w:w="0" w:type="dxa"/>
            <w:right w:w="0" w:type="dxa"/>
          </w:tblCellMar>
        </w:tblPrEx>
        <w:trPr>
          <w:trHeight w:val="682" w:hRule="atLeast"/>
        </w:trPr>
        <w:tc>
          <w:tcPr>
            <w:tcW w:w="29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3</w:t>
            </w:r>
          </w:p>
        </w:tc>
        <w:tc>
          <w:tcPr>
            <w:tcW w:w="161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巴彦塔拉河河道治理项目</w:t>
            </w:r>
          </w:p>
        </w:tc>
        <w:tc>
          <w:tcPr>
            <w:tcW w:w="26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A</w:t>
            </w:r>
          </w:p>
        </w:tc>
        <w:tc>
          <w:tcPr>
            <w:tcW w:w="61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改、扩建</w:t>
            </w:r>
          </w:p>
        </w:tc>
        <w:tc>
          <w:tcPr>
            <w:tcW w:w="519"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规划</w:t>
            </w:r>
          </w:p>
        </w:tc>
        <w:tc>
          <w:tcPr>
            <w:tcW w:w="48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 xml:space="preserve">20.0 </w:t>
            </w:r>
          </w:p>
        </w:tc>
        <w:tc>
          <w:tcPr>
            <w:tcW w:w="120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0.7</w:t>
            </w:r>
          </w:p>
        </w:tc>
      </w:tr>
      <w:tr>
        <w:tblPrEx>
          <w:tblCellMar>
            <w:top w:w="0" w:type="dxa"/>
            <w:left w:w="0" w:type="dxa"/>
            <w:bottom w:w="0" w:type="dxa"/>
            <w:right w:w="0" w:type="dxa"/>
          </w:tblCellMar>
        </w:tblPrEx>
        <w:trPr>
          <w:trHeight w:val="678" w:hRule="atLeast"/>
        </w:trPr>
        <w:tc>
          <w:tcPr>
            <w:tcW w:w="29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4</w:t>
            </w:r>
          </w:p>
        </w:tc>
        <w:tc>
          <w:tcPr>
            <w:tcW w:w="161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乌努格其河河道治理项目</w:t>
            </w:r>
          </w:p>
        </w:tc>
        <w:tc>
          <w:tcPr>
            <w:tcW w:w="26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A</w:t>
            </w:r>
          </w:p>
        </w:tc>
        <w:tc>
          <w:tcPr>
            <w:tcW w:w="61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改、扩建</w:t>
            </w:r>
          </w:p>
        </w:tc>
        <w:tc>
          <w:tcPr>
            <w:tcW w:w="51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规划</w:t>
            </w:r>
          </w:p>
        </w:tc>
        <w:tc>
          <w:tcPr>
            <w:tcW w:w="48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 xml:space="preserve">10.0 </w:t>
            </w:r>
          </w:p>
        </w:tc>
        <w:tc>
          <w:tcPr>
            <w:tcW w:w="120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0.35</w:t>
            </w:r>
          </w:p>
        </w:tc>
      </w:tr>
      <w:tr>
        <w:tblPrEx>
          <w:tblCellMar>
            <w:top w:w="0" w:type="dxa"/>
            <w:left w:w="0" w:type="dxa"/>
            <w:bottom w:w="0" w:type="dxa"/>
            <w:right w:w="0" w:type="dxa"/>
          </w:tblCellMar>
        </w:tblPrEx>
        <w:trPr>
          <w:trHeight w:val="703" w:hRule="atLeast"/>
        </w:trPr>
        <w:tc>
          <w:tcPr>
            <w:tcW w:w="29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p>
        </w:tc>
        <w:tc>
          <w:tcPr>
            <w:tcW w:w="161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合计</w:t>
            </w:r>
          </w:p>
        </w:tc>
        <w:tc>
          <w:tcPr>
            <w:tcW w:w="26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p>
        </w:tc>
        <w:tc>
          <w:tcPr>
            <w:tcW w:w="61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p>
        </w:tc>
        <w:tc>
          <w:tcPr>
            <w:tcW w:w="519"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p>
        </w:tc>
        <w:tc>
          <w:tcPr>
            <w:tcW w:w="48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p>
        </w:tc>
        <w:tc>
          <w:tcPr>
            <w:tcW w:w="120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2.03</w:t>
            </w:r>
          </w:p>
        </w:tc>
      </w:tr>
    </w:tbl>
    <w:p>
      <w:pPr>
        <w:spacing w:line="540" w:lineRule="exact"/>
        <w:rPr>
          <w:rFonts w:hint="eastAsia" w:ascii="Times New Roman" w:hAnsi="Times New Roman" w:eastAsia="仿宋_GB2312" w:cs="仿宋_GB2312"/>
          <w:sz w:val="32"/>
          <w:szCs w:val="32"/>
          <w:lang w:val="zh-TW"/>
        </w:rPr>
      </w:pPr>
    </w:p>
    <w:p>
      <w:pPr>
        <w:spacing w:line="540" w:lineRule="exact"/>
        <w:jc w:val="center"/>
        <w:rPr>
          <w:rFonts w:hint="eastAsia" w:ascii="Times New Roman" w:hAnsi="Times New Roman" w:eastAsia="黑体" w:cs="仿宋_GB2312"/>
          <w:sz w:val="32"/>
          <w:szCs w:val="32"/>
          <w:lang w:val="zh-TW"/>
        </w:rPr>
      </w:pPr>
      <w:r>
        <w:rPr>
          <w:rFonts w:hint="eastAsia" w:ascii="Times New Roman" w:hAnsi="Times New Roman" w:eastAsia="黑体" w:cs="仿宋_GB2312"/>
          <w:sz w:val="32"/>
          <w:szCs w:val="32"/>
          <w:lang w:val="zh-TW"/>
        </w:rPr>
        <w:t>表3-6  “十四五”规划大型枢纽除险加固工程项目统计表</w:t>
      </w:r>
    </w:p>
    <w:tbl>
      <w:tblPr>
        <w:tblStyle w:val="8"/>
        <w:tblW w:w="5432" w:type="pct"/>
        <w:tblInd w:w="-269" w:type="dxa"/>
        <w:tblLayout w:type="autofit"/>
        <w:tblCellMar>
          <w:top w:w="0" w:type="dxa"/>
          <w:left w:w="0" w:type="dxa"/>
          <w:bottom w:w="0" w:type="dxa"/>
          <w:right w:w="0" w:type="dxa"/>
        </w:tblCellMar>
      </w:tblPr>
      <w:tblGrid>
        <w:gridCol w:w="851"/>
        <w:gridCol w:w="1705"/>
        <w:gridCol w:w="679"/>
        <w:gridCol w:w="1150"/>
        <w:gridCol w:w="2420"/>
        <w:gridCol w:w="2836"/>
      </w:tblGrid>
      <w:tr>
        <w:tblPrEx>
          <w:tblCellMar>
            <w:top w:w="0" w:type="dxa"/>
            <w:left w:w="0" w:type="dxa"/>
            <w:bottom w:w="0" w:type="dxa"/>
            <w:right w:w="0" w:type="dxa"/>
          </w:tblCellMar>
        </w:tblPrEx>
        <w:trPr>
          <w:trHeight w:val="444" w:hRule="atLeast"/>
        </w:trPr>
        <w:tc>
          <w:tcPr>
            <w:tcW w:w="44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00" w:lineRule="exact"/>
              <w:jc w:val="center"/>
              <w:rPr>
                <w:rFonts w:hint="eastAsia" w:ascii="黑体" w:hAnsi="黑体" w:eastAsia="黑体" w:cs="宋体"/>
                <w:bCs/>
                <w:kern w:val="0"/>
                <w:sz w:val="28"/>
                <w:szCs w:val="28"/>
              </w:rPr>
            </w:pPr>
            <w:r>
              <w:rPr>
                <w:rFonts w:hint="eastAsia" w:ascii="黑体" w:hAnsi="黑体" w:eastAsia="黑体" w:cs="宋体"/>
                <w:bCs/>
                <w:kern w:val="0"/>
                <w:sz w:val="28"/>
                <w:szCs w:val="28"/>
              </w:rPr>
              <w:t>序号</w:t>
            </w:r>
          </w:p>
        </w:tc>
        <w:tc>
          <w:tcPr>
            <w:tcW w:w="8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黑体" w:hAnsi="黑体" w:eastAsia="黑体" w:cs="宋体"/>
                <w:bCs/>
                <w:kern w:val="0"/>
                <w:sz w:val="28"/>
                <w:szCs w:val="28"/>
              </w:rPr>
            </w:pPr>
            <w:r>
              <w:rPr>
                <w:rFonts w:hint="eastAsia" w:ascii="黑体" w:hAnsi="黑体" w:eastAsia="黑体" w:cs="宋体"/>
                <w:bCs/>
                <w:kern w:val="0"/>
                <w:sz w:val="28"/>
                <w:szCs w:val="28"/>
              </w:rPr>
              <w:t>项目名称</w:t>
            </w:r>
          </w:p>
        </w:tc>
        <w:tc>
          <w:tcPr>
            <w:tcW w:w="352" w:type="pct"/>
            <w:tcBorders>
              <w:top w:val="single" w:color="000000" w:sz="4" w:space="0"/>
              <w:left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黑体" w:hAnsi="黑体" w:eastAsia="黑体" w:cs="宋体"/>
                <w:bCs/>
                <w:kern w:val="0"/>
                <w:sz w:val="28"/>
                <w:szCs w:val="28"/>
              </w:rPr>
            </w:pPr>
            <w:r>
              <w:rPr>
                <w:rFonts w:hint="eastAsia" w:ascii="黑体" w:hAnsi="黑体" w:eastAsia="黑体" w:cs="宋体"/>
                <w:bCs/>
                <w:kern w:val="0"/>
                <w:sz w:val="28"/>
                <w:szCs w:val="28"/>
              </w:rPr>
              <w:t>类别</w:t>
            </w:r>
          </w:p>
        </w:tc>
        <w:tc>
          <w:tcPr>
            <w:tcW w:w="596" w:type="pc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spacing w:line="500" w:lineRule="exact"/>
              <w:jc w:val="center"/>
              <w:rPr>
                <w:rFonts w:hint="eastAsia" w:ascii="黑体" w:hAnsi="黑体" w:eastAsia="黑体" w:cs="宋体"/>
                <w:bCs/>
                <w:kern w:val="0"/>
                <w:sz w:val="28"/>
                <w:szCs w:val="28"/>
              </w:rPr>
            </w:pPr>
            <w:r>
              <w:rPr>
                <w:rFonts w:hint="eastAsia" w:ascii="黑体" w:hAnsi="黑体" w:eastAsia="黑体" w:cs="宋体"/>
                <w:bCs/>
                <w:kern w:val="0"/>
                <w:sz w:val="28"/>
                <w:szCs w:val="28"/>
              </w:rPr>
              <w:t>建设性质</w:t>
            </w:r>
          </w:p>
        </w:tc>
        <w:tc>
          <w:tcPr>
            <w:tcW w:w="1255" w:type="pct"/>
            <w:tcBorders>
              <w:top w:val="single" w:color="000000" w:sz="4" w:space="0"/>
              <w:left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黑体" w:hAnsi="黑体" w:eastAsia="黑体" w:cs="宋体"/>
                <w:bCs/>
                <w:kern w:val="0"/>
                <w:sz w:val="28"/>
                <w:szCs w:val="28"/>
              </w:rPr>
            </w:pPr>
            <w:r>
              <w:rPr>
                <w:rFonts w:hint="eastAsia" w:ascii="黑体" w:hAnsi="黑体" w:eastAsia="黑体" w:cs="宋体"/>
                <w:bCs/>
                <w:kern w:val="0"/>
                <w:sz w:val="28"/>
                <w:szCs w:val="28"/>
              </w:rPr>
              <w:t>工程规模/数量</w:t>
            </w:r>
          </w:p>
        </w:tc>
        <w:tc>
          <w:tcPr>
            <w:tcW w:w="14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黑体" w:hAnsi="黑体" w:eastAsia="黑体" w:cs="宋体"/>
                <w:bCs/>
                <w:kern w:val="0"/>
                <w:sz w:val="28"/>
                <w:szCs w:val="28"/>
              </w:rPr>
            </w:pPr>
            <w:r>
              <w:rPr>
                <w:rFonts w:hint="eastAsia" w:ascii="黑体" w:hAnsi="黑体" w:eastAsia="黑体" w:cs="宋体"/>
                <w:bCs/>
                <w:kern w:val="0"/>
                <w:sz w:val="28"/>
                <w:szCs w:val="28"/>
              </w:rPr>
              <w:t>十四五投资（亿元）</w:t>
            </w:r>
          </w:p>
        </w:tc>
      </w:tr>
      <w:tr>
        <w:tblPrEx>
          <w:tblCellMar>
            <w:top w:w="0" w:type="dxa"/>
            <w:left w:w="0" w:type="dxa"/>
            <w:bottom w:w="0" w:type="dxa"/>
            <w:right w:w="0" w:type="dxa"/>
          </w:tblCellMar>
        </w:tblPrEx>
        <w:trPr>
          <w:trHeight w:val="477" w:hRule="atLeast"/>
        </w:trPr>
        <w:tc>
          <w:tcPr>
            <w:tcW w:w="44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1</w:t>
            </w:r>
          </w:p>
        </w:tc>
        <w:tc>
          <w:tcPr>
            <w:tcW w:w="8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总办窝堡水利枢纽</w:t>
            </w:r>
          </w:p>
        </w:tc>
        <w:tc>
          <w:tcPr>
            <w:tcW w:w="35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B</w:t>
            </w:r>
          </w:p>
        </w:tc>
        <w:tc>
          <w:tcPr>
            <w:tcW w:w="59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改、扩建</w:t>
            </w:r>
          </w:p>
        </w:tc>
        <w:tc>
          <w:tcPr>
            <w:tcW w:w="125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完成枢纽除险加固</w:t>
            </w:r>
          </w:p>
        </w:tc>
        <w:tc>
          <w:tcPr>
            <w:tcW w:w="1471"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1.2</w:t>
            </w:r>
          </w:p>
        </w:tc>
      </w:tr>
      <w:tr>
        <w:tblPrEx>
          <w:tblCellMar>
            <w:top w:w="0" w:type="dxa"/>
            <w:left w:w="0" w:type="dxa"/>
            <w:bottom w:w="0" w:type="dxa"/>
            <w:right w:w="0" w:type="dxa"/>
          </w:tblCellMar>
        </w:tblPrEx>
        <w:trPr>
          <w:trHeight w:val="721" w:hRule="atLeast"/>
        </w:trPr>
        <w:tc>
          <w:tcPr>
            <w:tcW w:w="44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2</w:t>
            </w:r>
          </w:p>
        </w:tc>
        <w:tc>
          <w:tcPr>
            <w:tcW w:w="8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苏家堡枢纽</w:t>
            </w:r>
          </w:p>
        </w:tc>
        <w:tc>
          <w:tcPr>
            <w:tcW w:w="35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B</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改、扩建</w:t>
            </w:r>
          </w:p>
        </w:tc>
        <w:tc>
          <w:tcPr>
            <w:tcW w:w="125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完成安全鉴定工作</w:t>
            </w:r>
          </w:p>
        </w:tc>
        <w:tc>
          <w:tcPr>
            <w:tcW w:w="14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0</w:t>
            </w:r>
          </w:p>
        </w:tc>
      </w:tr>
      <w:tr>
        <w:tblPrEx>
          <w:tblCellMar>
            <w:top w:w="0" w:type="dxa"/>
            <w:left w:w="0" w:type="dxa"/>
            <w:bottom w:w="0" w:type="dxa"/>
            <w:right w:w="0" w:type="dxa"/>
          </w:tblCellMar>
        </w:tblPrEx>
        <w:trPr>
          <w:trHeight w:val="297" w:hRule="atLeast"/>
        </w:trPr>
        <w:tc>
          <w:tcPr>
            <w:tcW w:w="44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3</w:t>
            </w:r>
          </w:p>
        </w:tc>
        <w:tc>
          <w:tcPr>
            <w:tcW w:w="8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乌力吉木仁枢纽</w:t>
            </w:r>
          </w:p>
        </w:tc>
        <w:tc>
          <w:tcPr>
            <w:tcW w:w="35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B</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改、扩建</w:t>
            </w:r>
          </w:p>
        </w:tc>
        <w:tc>
          <w:tcPr>
            <w:tcW w:w="125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完成安全鉴定工作</w:t>
            </w:r>
          </w:p>
        </w:tc>
        <w:tc>
          <w:tcPr>
            <w:tcW w:w="147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0</w:t>
            </w:r>
          </w:p>
        </w:tc>
      </w:tr>
      <w:tr>
        <w:tblPrEx>
          <w:tblCellMar>
            <w:top w:w="0" w:type="dxa"/>
            <w:left w:w="0" w:type="dxa"/>
            <w:bottom w:w="0" w:type="dxa"/>
            <w:right w:w="0" w:type="dxa"/>
          </w:tblCellMar>
        </w:tblPrEx>
        <w:trPr>
          <w:trHeight w:val="648" w:hRule="atLeast"/>
        </w:trPr>
        <w:tc>
          <w:tcPr>
            <w:tcW w:w="44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4</w:t>
            </w:r>
          </w:p>
        </w:tc>
        <w:tc>
          <w:tcPr>
            <w:tcW w:w="8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台河口枢纽</w:t>
            </w:r>
          </w:p>
        </w:tc>
        <w:tc>
          <w:tcPr>
            <w:tcW w:w="35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B</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改、扩建</w:t>
            </w:r>
          </w:p>
        </w:tc>
        <w:tc>
          <w:tcPr>
            <w:tcW w:w="125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完成枢纽除险加固</w:t>
            </w:r>
          </w:p>
        </w:tc>
        <w:tc>
          <w:tcPr>
            <w:tcW w:w="14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1.5</w:t>
            </w:r>
          </w:p>
        </w:tc>
      </w:tr>
      <w:tr>
        <w:tblPrEx>
          <w:tblCellMar>
            <w:top w:w="0" w:type="dxa"/>
            <w:left w:w="0" w:type="dxa"/>
            <w:bottom w:w="0" w:type="dxa"/>
            <w:right w:w="0" w:type="dxa"/>
          </w:tblCellMar>
        </w:tblPrEx>
        <w:trPr>
          <w:trHeight w:val="686" w:hRule="atLeast"/>
        </w:trPr>
        <w:tc>
          <w:tcPr>
            <w:tcW w:w="44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5</w:t>
            </w:r>
          </w:p>
        </w:tc>
        <w:tc>
          <w:tcPr>
            <w:tcW w:w="88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他拉干枢纽</w:t>
            </w:r>
          </w:p>
        </w:tc>
        <w:tc>
          <w:tcPr>
            <w:tcW w:w="35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D</w:t>
            </w:r>
          </w:p>
        </w:tc>
        <w:tc>
          <w:tcPr>
            <w:tcW w:w="59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改、扩建</w:t>
            </w:r>
          </w:p>
        </w:tc>
        <w:tc>
          <w:tcPr>
            <w:tcW w:w="125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完成安全鉴定工作</w:t>
            </w:r>
          </w:p>
        </w:tc>
        <w:tc>
          <w:tcPr>
            <w:tcW w:w="14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0</w:t>
            </w:r>
          </w:p>
        </w:tc>
      </w:tr>
      <w:tr>
        <w:tblPrEx>
          <w:tblCellMar>
            <w:top w:w="0" w:type="dxa"/>
            <w:left w:w="0" w:type="dxa"/>
            <w:bottom w:w="0" w:type="dxa"/>
            <w:right w:w="0" w:type="dxa"/>
          </w:tblCellMar>
        </w:tblPrEx>
        <w:trPr>
          <w:trHeight w:val="696" w:hRule="atLeast"/>
        </w:trPr>
        <w:tc>
          <w:tcPr>
            <w:tcW w:w="44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合计</w:t>
            </w:r>
          </w:p>
        </w:tc>
        <w:tc>
          <w:tcPr>
            <w:tcW w:w="88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p>
        </w:tc>
        <w:tc>
          <w:tcPr>
            <w:tcW w:w="35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p>
        </w:tc>
        <w:tc>
          <w:tcPr>
            <w:tcW w:w="59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p>
        </w:tc>
        <w:tc>
          <w:tcPr>
            <w:tcW w:w="125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p>
        </w:tc>
        <w:tc>
          <w:tcPr>
            <w:tcW w:w="147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2.7</w:t>
            </w:r>
          </w:p>
        </w:tc>
      </w:tr>
    </w:tbl>
    <w:p>
      <w:pPr>
        <w:spacing w:line="540" w:lineRule="exact"/>
        <w:rPr>
          <w:rFonts w:hint="eastAsia" w:ascii="Times New Roman" w:hAnsi="Times New Roman" w:eastAsia="仿宋_GB2312" w:cs="仿宋_GB2312"/>
          <w:sz w:val="32"/>
          <w:szCs w:val="32"/>
          <w:lang w:val="zh-TW"/>
        </w:rPr>
      </w:pPr>
    </w:p>
    <w:p>
      <w:pPr>
        <w:spacing w:line="540" w:lineRule="exact"/>
        <w:jc w:val="center"/>
        <w:rPr>
          <w:rFonts w:hint="eastAsia" w:ascii="Times New Roman" w:hAnsi="Times New Roman" w:eastAsia="黑体" w:cs="仿宋_GB2312"/>
          <w:sz w:val="32"/>
          <w:szCs w:val="32"/>
          <w:lang w:val="zh-TW"/>
        </w:rPr>
      </w:pPr>
      <w:r>
        <w:rPr>
          <w:rFonts w:hint="eastAsia" w:ascii="Times New Roman" w:hAnsi="Times New Roman" w:eastAsia="黑体" w:cs="仿宋_GB2312"/>
          <w:sz w:val="32"/>
          <w:szCs w:val="32"/>
          <w:lang w:val="zh-TW"/>
        </w:rPr>
        <w:t>表3-7  “十四五”规划病险水库除险加固工程项目统计表</w:t>
      </w:r>
    </w:p>
    <w:tbl>
      <w:tblPr>
        <w:tblStyle w:val="8"/>
        <w:tblW w:w="95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3"/>
        <w:gridCol w:w="2025"/>
        <w:gridCol w:w="2131"/>
        <w:gridCol w:w="3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3" w:type="dxa"/>
            <w:shd w:val="clear" w:color="auto" w:fill="auto"/>
          </w:tcPr>
          <w:p>
            <w:pPr>
              <w:widowControl/>
              <w:spacing w:line="500" w:lineRule="exact"/>
              <w:jc w:val="center"/>
              <w:rPr>
                <w:rFonts w:hint="eastAsia" w:ascii="黑体" w:hAnsi="黑体" w:eastAsia="黑体" w:cs="宋体"/>
                <w:bCs/>
                <w:kern w:val="0"/>
                <w:sz w:val="28"/>
                <w:szCs w:val="28"/>
              </w:rPr>
            </w:pPr>
            <w:r>
              <w:rPr>
                <w:rFonts w:hint="eastAsia" w:ascii="黑体" w:hAnsi="黑体" w:eastAsia="黑体" w:cs="宋体"/>
                <w:bCs/>
                <w:kern w:val="0"/>
                <w:sz w:val="28"/>
                <w:szCs w:val="28"/>
              </w:rPr>
              <w:t>水库名称</w:t>
            </w:r>
          </w:p>
        </w:tc>
        <w:tc>
          <w:tcPr>
            <w:tcW w:w="2025" w:type="dxa"/>
            <w:shd w:val="clear" w:color="auto" w:fill="auto"/>
          </w:tcPr>
          <w:p>
            <w:pPr>
              <w:widowControl/>
              <w:spacing w:line="500" w:lineRule="exact"/>
              <w:jc w:val="center"/>
              <w:rPr>
                <w:rFonts w:hint="eastAsia" w:ascii="黑体" w:hAnsi="黑体" w:eastAsia="黑体" w:cs="宋体"/>
                <w:bCs/>
                <w:kern w:val="0"/>
                <w:sz w:val="28"/>
                <w:szCs w:val="28"/>
              </w:rPr>
            </w:pPr>
            <w:r>
              <w:rPr>
                <w:rFonts w:hint="eastAsia" w:ascii="黑体" w:hAnsi="黑体" w:eastAsia="黑体" w:cs="宋体"/>
                <w:bCs/>
                <w:kern w:val="0"/>
                <w:sz w:val="28"/>
                <w:szCs w:val="28"/>
              </w:rPr>
              <w:t>旗县</w:t>
            </w:r>
          </w:p>
        </w:tc>
        <w:tc>
          <w:tcPr>
            <w:tcW w:w="2131" w:type="dxa"/>
            <w:shd w:val="clear" w:color="auto" w:fill="auto"/>
          </w:tcPr>
          <w:p>
            <w:pPr>
              <w:widowControl/>
              <w:spacing w:line="500" w:lineRule="exact"/>
              <w:jc w:val="center"/>
              <w:rPr>
                <w:rFonts w:hint="eastAsia" w:ascii="黑体" w:hAnsi="黑体" w:eastAsia="黑体" w:cs="宋体"/>
                <w:bCs/>
                <w:kern w:val="0"/>
                <w:sz w:val="28"/>
                <w:szCs w:val="28"/>
              </w:rPr>
            </w:pPr>
            <w:r>
              <w:rPr>
                <w:rFonts w:hint="eastAsia" w:ascii="黑体" w:hAnsi="黑体" w:eastAsia="黑体" w:cs="宋体"/>
                <w:bCs/>
                <w:kern w:val="0"/>
                <w:sz w:val="28"/>
                <w:szCs w:val="28"/>
              </w:rPr>
              <w:t>工程规模</w:t>
            </w:r>
          </w:p>
        </w:tc>
        <w:tc>
          <w:tcPr>
            <w:tcW w:w="3189" w:type="dxa"/>
            <w:shd w:val="clear" w:color="auto" w:fill="auto"/>
          </w:tcPr>
          <w:p>
            <w:pPr>
              <w:widowControl/>
              <w:spacing w:line="500" w:lineRule="exact"/>
              <w:jc w:val="center"/>
              <w:rPr>
                <w:rFonts w:hint="eastAsia" w:ascii="黑体" w:hAnsi="黑体" w:eastAsia="黑体" w:cs="宋体"/>
                <w:bCs/>
                <w:kern w:val="0"/>
                <w:sz w:val="28"/>
                <w:szCs w:val="28"/>
              </w:rPr>
            </w:pPr>
            <w:r>
              <w:rPr>
                <w:rFonts w:hint="eastAsia" w:ascii="黑体" w:hAnsi="黑体" w:eastAsia="黑体" w:cs="宋体"/>
                <w:bCs/>
                <w:kern w:val="0"/>
                <w:sz w:val="28"/>
                <w:szCs w:val="28"/>
              </w:rPr>
              <w:t>十四五投资（亿元）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3" w:type="dxa"/>
            <w:shd w:val="clear" w:color="auto" w:fill="auto"/>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小河西水库</w:t>
            </w:r>
          </w:p>
        </w:tc>
        <w:tc>
          <w:tcPr>
            <w:tcW w:w="2025" w:type="dxa"/>
            <w:shd w:val="clear" w:color="auto" w:fill="auto"/>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扎鲁特旗</w:t>
            </w:r>
          </w:p>
        </w:tc>
        <w:tc>
          <w:tcPr>
            <w:tcW w:w="2131" w:type="dxa"/>
            <w:shd w:val="clear" w:color="auto" w:fill="auto"/>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中型</w:t>
            </w:r>
          </w:p>
        </w:tc>
        <w:tc>
          <w:tcPr>
            <w:tcW w:w="3189" w:type="dxa"/>
            <w:shd w:val="clear" w:color="auto" w:fill="auto"/>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3" w:type="dxa"/>
            <w:shd w:val="clear" w:color="auto" w:fill="auto"/>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红旗水库</w:t>
            </w:r>
          </w:p>
        </w:tc>
        <w:tc>
          <w:tcPr>
            <w:tcW w:w="2025" w:type="dxa"/>
            <w:shd w:val="clear" w:color="auto" w:fill="auto"/>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扎鲁特旗</w:t>
            </w:r>
          </w:p>
        </w:tc>
        <w:tc>
          <w:tcPr>
            <w:tcW w:w="2131" w:type="dxa"/>
            <w:shd w:val="clear" w:color="auto" w:fill="auto"/>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中型</w:t>
            </w:r>
          </w:p>
        </w:tc>
        <w:tc>
          <w:tcPr>
            <w:tcW w:w="3189" w:type="dxa"/>
            <w:shd w:val="clear" w:color="auto" w:fill="auto"/>
          </w:tcPr>
          <w:p>
            <w:pPr>
              <w:widowControl/>
              <w:spacing w:line="500" w:lineRule="exact"/>
              <w:jc w:val="center"/>
              <w:rPr>
                <w:rFonts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23" w:type="dxa"/>
            <w:shd w:val="clear" w:color="auto" w:fill="auto"/>
            <w:vAlign w:val="center"/>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莫河沟水库</w:t>
            </w:r>
          </w:p>
        </w:tc>
        <w:tc>
          <w:tcPr>
            <w:tcW w:w="2025" w:type="dxa"/>
            <w:shd w:val="clear" w:color="auto" w:fill="auto"/>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库伦旗</w:t>
            </w:r>
          </w:p>
        </w:tc>
        <w:tc>
          <w:tcPr>
            <w:tcW w:w="2131" w:type="dxa"/>
            <w:shd w:val="clear" w:color="auto" w:fill="auto"/>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中型</w:t>
            </w:r>
          </w:p>
        </w:tc>
        <w:tc>
          <w:tcPr>
            <w:tcW w:w="3189" w:type="dxa"/>
            <w:shd w:val="clear" w:color="auto" w:fill="auto"/>
          </w:tcPr>
          <w:p>
            <w:pPr>
              <w:widowControl/>
              <w:spacing w:line="500" w:lineRule="exact"/>
              <w:jc w:val="center"/>
              <w:rPr>
                <w:rFonts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3" w:type="dxa"/>
            <w:shd w:val="clear" w:color="auto" w:fill="auto"/>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散都水库</w:t>
            </w:r>
          </w:p>
        </w:tc>
        <w:tc>
          <w:tcPr>
            <w:tcW w:w="2025" w:type="dxa"/>
            <w:shd w:val="clear" w:color="auto" w:fill="auto"/>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科左后旗</w:t>
            </w:r>
          </w:p>
        </w:tc>
        <w:tc>
          <w:tcPr>
            <w:tcW w:w="2131" w:type="dxa"/>
            <w:shd w:val="clear" w:color="auto" w:fill="auto"/>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小一型</w:t>
            </w:r>
          </w:p>
        </w:tc>
        <w:tc>
          <w:tcPr>
            <w:tcW w:w="3189" w:type="dxa"/>
            <w:shd w:val="clear" w:color="auto" w:fill="auto"/>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3" w:type="dxa"/>
            <w:shd w:val="clear" w:color="auto" w:fill="auto"/>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黄花山水库</w:t>
            </w:r>
          </w:p>
        </w:tc>
        <w:tc>
          <w:tcPr>
            <w:tcW w:w="2025" w:type="dxa"/>
            <w:shd w:val="clear" w:color="auto" w:fill="auto"/>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扎鲁特旗</w:t>
            </w:r>
          </w:p>
        </w:tc>
        <w:tc>
          <w:tcPr>
            <w:tcW w:w="2131" w:type="dxa"/>
            <w:shd w:val="clear" w:color="auto" w:fill="auto"/>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小一型</w:t>
            </w:r>
          </w:p>
        </w:tc>
        <w:tc>
          <w:tcPr>
            <w:tcW w:w="3189" w:type="dxa"/>
            <w:shd w:val="clear" w:color="auto" w:fill="auto"/>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3" w:type="dxa"/>
            <w:shd w:val="clear" w:color="auto" w:fill="auto"/>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小南京洼水库</w:t>
            </w:r>
          </w:p>
        </w:tc>
        <w:tc>
          <w:tcPr>
            <w:tcW w:w="2025" w:type="dxa"/>
            <w:shd w:val="clear" w:color="auto" w:fill="auto"/>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库伦旗</w:t>
            </w:r>
          </w:p>
        </w:tc>
        <w:tc>
          <w:tcPr>
            <w:tcW w:w="2131" w:type="dxa"/>
            <w:shd w:val="clear" w:color="auto" w:fill="auto"/>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小一型</w:t>
            </w:r>
          </w:p>
        </w:tc>
        <w:tc>
          <w:tcPr>
            <w:tcW w:w="3189" w:type="dxa"/>
            <w:shd w:val="clear" w:color="auto" w:fill="auto"/>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23" w:type="dxa"/>
            <w:shd w:val="clear" w:color="auto" w:fill="auto"/>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红旗水库</w:t>
            </w:r>
          </w:p>
        </w:tc>
        <w:tc>
          <w:tcPr>
            <w:tcW w:w="2025" w:type="dxa"/>
            <w:shd w:val="clear" w:color="auto" w:fill="auto"/>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库伦旗</w:t>
            </w:r>
          </w:p>
        </w:tc>
        <w:tc>
          <w:tcPr>
            <w:tcW w:w="2131" w:type="dxa"/>
            <w:shd w:val="clear" w:color="auto" w:fill="auto"/>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小一型</w:t>
            </w:r>
          </w:p>
        </w:tc>
        <w:tc>
          <w:tcPr>
            <w:tcW w:w="3189" w:type="dxa"/>
            <w:shd w:val="clear" w:color="auto" w:fill="auto"/>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3" w:type="dxa"/>
            <w:shd w:val="clear" w:color="auto" w:fill="auto"/>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养畜牧东水库</w:t>
            </w:r>
          </w:p>
        </w:tc>
        <w:tc>
          <w:tcPr>
            <w:tcW w:w="2025" w:type="dxa"/>
            <w:shd w:val="clear" w:color="auto" w:fill="auto"/>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库伦旗</w:t>
            </w:r>
          </w:p>
        </w:tc>
        <w:tc>
          <w:tcPr>
            <w:tcW w:w="2131" w:type="dxa"/>
            <w:shd w:val="clear" w:color="auto" w:fill="auto"/>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小二型</w:t>
            </w:r>
          </w:p>
        </w:tc>
        <w:tc>
          <w:tcPr>
            <w:tcW w:w="3189" w:type="dxa"/>
            <w:shd w:val="clear" w:color="auto" w:fill="auto"/>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3" w:type="dxa"/>
            <w:shd w:val="clear" w:color="auto" w:fill="auto"/>
          </w:tcPr>
          <w:p>
            <w:pPr>
              <w:widowControl/>
              <w:spacing w:line="5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合计</w:t>
            </w:r>
          </w:p>
        </w:tc>
        <w:tc>
          <w:tcPr>
            <w:tcW w:w="2025" w:type="dxa"/>
            <w:shd w:val="clear" w:color="auto" w:fill="auto"/>
          </w:tcPr>
          <w:p>
            <w:pPr>
              <w:widowControl/>
              <w:spacing w:line="500" w:lineRule="exact"/>
              <w:jc w:val="center"/>
              <w:rPr>
                <w:rFonts w:hint="eastAsia" w:ascii="Times New Roman" w:hAnsi="Times New Roman" w:eastAsia="仿宋_GB2312" w:cs="宋体"/>
                <w:bCs/>
                <w:kern w:val="0"/>
                <w:sz w:val="28"/>
                <w:szCs w:val="28"/>
              </w:rPr>
            </w:pPr>
          </w:p>
        </w:tc>
        <w:tc>
          <w:tcPr>
            <w:tcW w:w="2131" w:type="dxa"/>
            <w:shd w:val="clear" w:color="auto" w:fill="auto"/>
          </w:tcPr>
          <w:p>
            <w:pPr>
              <w:widowControl/>
              <w:spacing w:line="500" w:lineRule="exact"/>
              <w:jc w:val="center"/>
              <w:rPr>
                <w:rFonts w:hint="eastAsia" w:ascii="Times New Roman" w:hAnsi="Times New Roman" w:eastAsia="仿宋_GB2312" w:cs="宋体"/>
                <w:bCs/>
                <w:kern w:val="0"/>
                <w:sz w:val="28"/>
                <w:szCs w:val="28"/>
              </w:rPr>
            </w:pPr>
          </w:p>
        </w:tc>
        <w:tc>
          <w:tcPr>
            <w:tcW w:w="3189" w:type="dxa"/>
            <w:shd w:val="clear" w:color="auto" w:fill="auto"/>
          </w:tcPr>
          <w:p>
            <w:pPr>
              <w:widowControl/>
              <w:spacing w:line="500" w:lineRule="exact"/>
              <w:jc w:val="center"/>
              <w:rPr>
                <w:rFonts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2.97</w:t>
            </w:r>
          </w:p>
        </w:tc>
      </w:tr>
    </w:tbl>
    <w:p>
      <w:pPr>
        <w:spacing w:line="540" w:lineRule="exact"/>
        <w:rPr>
          <w:rFonts w:hint="eastAsia" w:ascii="Times New Roman" w:hAnsi="Times New Roman" w:eastAsia="仿宋_GB2312" w:cs="仿宋_GB2312"/>
          <w:sz w:val="32"/>
          <w:szCs w:val="32"/>
          <w:lang w:val="zh-TW"/>
        </w:rPr>
      </w:pPr>
    </w:p>
    <w:p>
      <w:pPr>
        <w:spacing w:line="540" w:lineRule="exact"/>
        <w:jc w:val="center"/>
        <w:rPr>
          <w:rFonts w:hint="eastAsia" w:ascii="Times New Roman" w:hAnsi="Times New Roman" w:eastAsia="黑体" w:cs="仿宋_GB2312"/>
          <w:sz w:val="32"/>
          <w:szCs w:val="32"/>
          <w:lang w:val="zh-TW"/>
        </w:rPr>
      </w:pPr>
      <w:r>
        <w:rPr>
          <w:rFonts w:hint="eastAsia" w:ascii="Times New Roman" w:hAnsi="Times New Roman" w:eastAsia="黑体" w:cs="仿宋_GB2312"/>
          <w:sz w:val="32"/>
          <w:szCs w:val="32"/>
          <w:lang w:val="zh-TW"/>
        </w:rPr>
        <w:t>表3-8  “十四五”规划山洪沟治理工程项目统计表</w:t>
      </w:r>
    </w:p>
    <w:tbl>
      <w:tblPr>
        <w:tblStyle w:val="8"/>
        <w:tblW w:w="5086" w:type="pct"/>
        <w:tblInd w:w="-176" w:type="dxa"/>
        <w:tblLayout w:type="fixed"/>
        <w:tblCellMar>
          <w:top w:w="0" w:type="dxa"/>
          <w:left w:w="108" w:type="dxa"/>
          <w:bottom w:w="0" w:type="dxa"/>
          <w:right w:w="108" w:type="dxa"/>
        </w:tblCellMar>
      </w:tblPr>
      <w:tblGrid>
        <w:gridCol w:w="878"/>
        <w:gridCol w:w="1377"/>
        <w:gridCol w:w="1204"/>
        <w:gridCol w:w="1054"/>
        <w:gridCol w:w="946"/>
        <w:gridCol w:w="2673"/>
        <w:gridCol w:w="1084"/>
      </w:tblGrid>
      <w:tr>
        <w:tblPrEx>
          <w:tblCellMar>
            <w:top w:w="0" w:type="dxa"/>
            <w:left w:w="108" w:type="dxa"/>
            <w:bottom w:w="0" w:type="dxa"/>
            <w:right w:w="108" w:type="dxa"/>
          </w:tblCellMar>
        </w:tblPrEx>
        <w:trPr>
          <w:trHeight w:val="540" w:hRule="atLeast"/>
        </w:trPr>
        <w:tc>
          <w:tcPr>
            <w:tcW w:w="476" w:type="pct"/>
            <w:vMerge w:val="restart"/>
            <w:tcBorders>
              <w:top w:val="single" w:color="auto" w:sz="4" w:space="0"/>
              <w:left w:val="single" w:color="auto" w:sz="4" w:space="0"/>
              <w:bottom w:val="single" w:color="auto" w:sz="4" w:space="0"/>
              <w:right w:val="single" w:color="auto" w:sz="4" w:space="0"/>
            </w:tcBorders>
            <w:noWrap/>
            <w:vAlign w:val="center"/>
          </w:tcPr>
          <w:p>
            <w:pPr>
              <w:widowControl/>
              <w:spacing w:line="380" w:lineRule="exact"/>
              <w:jc w:val="center"/>
              <w:rPr>
                <w:rFonts w:hint="eastAsia" w:ascii="黑体" w:hAnsi="黑体" w:eastAsia="黑体" w:cs="宋体"/>
                <w:bCs/>
                <w:kern w:val="0"/>
                <w:sz w:val="28"/>
                <w:szCs w:val="28"/>
              </w:rPr>
            </w:pPr>
            <w:r>
              <w:rPr>
                <w:rFonts w:hint="eastAsia" w:ascii="黑体" w:hAnsi="黑体" w:eastAsia="黑体" w:cs="宋体"/>
                <w:bCs/>
                <w:kern w:val="0"/>
                <w:sz w:val="28"/>
                <w:szCs w:val="28"/>
              </w:rPr>
              <w:t>序号</w:t>
            </w:r>
          </w:p>
        </w:tc>
        <w:tc>
          <w:tcPr>
            <w:tcW w:w="747" w:type="pct"/>
            <w:vMerge w:val="restart"/>
            <w:tcBorders>
              <w:top w:val="single" w:color="auto" w:sz="4" w:space="0"/>
              <w:left w:val="nil"/>
              <w:bottom w:val="single" w:color="000000" w:sz="4" w:space="0"/>
              <w:right w:val="single" w:color="auto" w:sz="4" w:space="0"/>
            </w:tcBorders>
            <w:vAlign w:val="center"/>
          </w:tcPr>
          <w:p>
            <w:pPr>
              <w:widowControl/>
              <w:spacing w:line="380" w:lineRule="exact"/>
              <w:jc w:val="center"/>
              <w:rPr>
                <w:rFonts w:hint="eastAsia" w:ascii="黑体" w:hAnsi="黑体" w:eastAsia="黑体" w:cs="宋体"/>
                <w:bCs/>
                <w:kern w:val="0"/>
                <w:sz w:val="28"/>
                <w:szCs w:val="28"/>
              </w:rPr>
            </w:pPr>
            <w:r>
              <w:rPr>
                <w:rFonts w:hint="eastAsia" w:ascii="黑体" w:hAnsi="黑体" w:eastAsia="黑体" w:cs="宋体"/>
                <w:bCs/>
                <w:kern w:val="0"/>
                <w:sz w:val="28"/>
                <w:szCs w:val="28"/>
              </w:rPr>
              <w:t>项目名称</w:t>
            </w:r>
          </w:p>
        </w:tc>
        <w:tc>
          <w:tcPr>
            <w:tcW w:w="653" w:type="pct"/>
            <w:vMerge w:val="restart"/>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hint="eastAsia" w:ascii="黑体" w:hAnsi="黑体" w:eastAsia="黑体" w:cs="宋体"/>
                <w:bCs/>
                <w:kern w:val="0"/>
                <w:sz w:val="28"/>
                <w:szCs w:val="28"/>
              </w:rPr>
            </w:pPr>
            <w:r>
              <w:rPr>
                <w:rFonts w:hint="eastAsia" w:ascii="黑体" w:hAnsi="黑体" w:eastAsia="黑体" w:cs="宋体"/>
                <w:bCs/>
                <w:kern w:val="0"/>
                <w:sz w:val="28"/>
                <w:szCs w:val="28"/>
              </w:rPr>
              <w:t>所在旗县</w:t>
            </w:r>
          </w:p>
        </w:tc>
        <w:tc>
          <w:tcPr>
            <w:tcW w:w="572" w:type="pct"/>
            <w:vMerge w:val="restart"/>
            <w:tcBorders>
              <w:top w:val="single" w:color="auto" w:sz="4" w:space="0"/>
              <w:left w:val="single" w:color="auto" w:sz="4" w:space="0"/>
              <w:bottom w:val="single" w:color="auto" w:sz="4" w:space="0"/>
              <w:right w:val="single" w:color="auto" w:sz="4" w:space="0"/>
            </w:tcBorders>
            <w:noWrap/>
            <w:vAlign w:val="center"/>
          </w:tcPr>
          <w:p>
            <w:pPr>
              <w:widowControl/>
              <w:spacing w:line="380" w:lineRule="exact"/>
              <w:jc w:val="center"/>
              <w:rPr>
                <w:rFonts w:hint="eastAsia" w:ascii="黑体" w:hAnsi="黑体" w:eastAsia="黑体" w:cs="宋体"/>
                <w:bCs/>
                <w:kern w:val="0"/>
                <w:sz w:val="28"/>
                <w:szCs w:val="28"/>
              </w:rPr>
            </w:pPr>
            <w:r>
              <w:rPr>
                <w:rFonts w:hint="eastAsia" w:ascii="黑体" w:hAnsi="黑体" w:eastAsia="黑体" w:cs="宋体"/>
                <w:bCs/>
                <w:kern w:val="0"/>
                <w:sz w:val="28"/>
                <w:szCs w:val="28"/>
              </w:rPr>
              <w:t>类别</w:t>
            </w:r>
          </w:p>
        </w:tc>
        <w:tc>
          <w:tcPr>
            <w:tcW w:w="513" w:type="pct"/>
            <w:vMerge w:val="restart"/>
            <w:tcBorders>
              <w:top w:val="single" w:color="auto" w:sz="4" w:space="0"/>
              <w:left w:val="single" w:color="auto" w:sz="4" w:space="0"/>
              <w:bottom w:val="single" w:color="000000" w:sz="4" w:space="0"/>
              <w:right w:val="single" w:color="auto" w:sz="4" w:space="0"/>
            </w:tcBorders>
            <w:vAlign w:val="center"/>
          </w:tcPr>
          <w:p>
            <w:pPr>
              <w:widowControl/>
              <w:spacing w:line="380" w:lineRule="exact"/>
              <w:jc w:val="center"/>
              <w:rPr>
                <w:rFonts w:hint="eastAsia" w:ascii="黑体" w:hAnsi="黑体" w:eastAsia="黑体" w:cs="宋体"/>
                <w:bCs/>
                <w:kern w:val="0"/>
                <w:sz w:val="28"/>
                <w:szCs w:val="28"/>
              </w:rPr>
            </w:pPr>
            <w:r>
              <w:rPr>
                <w:rFonts w:hint="eastAsia" w:ascii="黑体" w:hAnsi="黑体" w:eastAsia="黑体" w:cs="宋体"/>
                <w:bCs/>
                <w:kern w:val="0"/>
                <w:sz w:val="28"/>
                <w:szCs w:val="28"/>
              </w:rPr>
              <w:t>前期工作情况</w:t>
            </w:r>
          </w:p>
        </w:tc>
        <w:tc>
          <w:tcPr>
            <w:tcW w:w="1449" w:type="pct"/>
            <w:vMerge w:val="restart"/>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hint="eastAsia" w:ascii="黑体" w:hAnsi="黑体" w:eastAsia="黑体" w:cs="宋体"/>
                <w:bCs/>
                <w:kern w:val="0"/>
                <w:sz w:val="28"/>
                <w:szCs w:val="28"/>
              </w:rPr>
            </w:pPr>
            <w:r>
              <w:rPr>
                <w:rFonts w:hint="eastAsia" w:ascii="黑体" w:hAnsi="黑体" w:eastAsia="黑体" w:cs="宋体"/>
                <w:bCs/>
                <w:kern w:val="0"/>
                <w:sz w:val="28"/>
                <w:szCs w:val="28"/>
              </w:rPr>
              <w:t>工程规模/数量</w:t>
            </w:r>
          </w:p>
        </w:tc>
        <w:tc>
          <w:tcPr>
            <w:tcW w:w="588" w:type="pct"/>
            <w:vMerge w:val="restart"/>
            <w:tcBorders>
              <w:top w:val="single" w:color="auto" w:sz="4" w:space="0"/>
              <w:left w:val="single" w:color="auto" w:sz="4" w:space="0"/>
              <w:bottom w:val="single" w:color="000000" w:sz="4" w:space="0"/>
              <w:right w:val="single" w:color="auto" w:sz="4" w:space="0"/>
            </w:tcBorders>
            <w:vAlign w:val="center"/>
          </w:tcPr>
          <w:p>
            <w:pPr>
              <w:widowControl/>
              <w:spacing w:line="380" w:lineRule="exact"/>
              <w:jc w:val="center"/>
              <w:rPr>
                <w:rFonts w:hint="eastAsia" w:ascii="黑体" w:hAnsi="黑体" w:eastAsia="黑体" w:cs="宋体"/>
                <w:bCs/>
                <w:kern w:val="0"/>
                <w:sz w:val="28"/>
                <w:szCs w:val="28"/>
              </w:rPr>
            </w:pPr>
            <w:r>
              <w:rPr>
                <w:rFonts w:hint="eastAsia" w:ascii="黑体" w:hAnsi="黑体" w:eastAsia="黑体" w:cs="宋体"/>
                <w:bCs/>
                <w:kern w:val="0"/>
                <w:sz w:val="28"/>
                <w:szCs w:val="28"/>
              </w:rPr>
              <w:t>十四五投资（亿元）</w:t>
            </w:r>
          </w:p>
        </w:tc>
      </w:tr>
      <w:tr>
        <w:tblPrEx>
          <w:tblCellMar>
            <w:top w:w="0" w:type="dxa"/>
            <w:left w:w="108" w:type="dxa"/>
            <w:bottom w:w="0" w:type="dxa"/>
            <w:right w:w="108" w:type="dxa"/>
          </w:tblCellMar>
        </w:tblPrEx>
        <w:trPr>
          <w:trHeight w:val="540" w:hRule="atLeast"/>
        </w:trPr>
        <w:tc>
          <w:tcPr>
            <w:tcW w:w="47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540" w:lineRule="exact"/>
              <w:jc w:val="center"/>
              <w:rPr>
                <w:rFonts w:hint="eastAsia" w:ascii="Times New Roman" w:hAnsi="Times New Roman" w:eastAsia="仿宋_GB2312" w:cs="宋体"/>
                <w:bCs/>
                <w:kern w:val="0"/>
                <w:sz w:val="28"/>
                <w:szCs w:val="28"/>
              </w:rPr>
            </w:pPr>
          </w:p>
        </w:tc>
        <w:tc>
          <w:tcPr>
            <w:tcW w:w="747" w:type="pct"/>
            <w:vMerge w:val="continue"/>
            <w:tcBorders>
              <w:top w:val="single" w:color="auto" w:sz="4" w:space="0"/>
              <w:left w:val="nil"/>
              <w:bottom w:val="single" w:color="000000" w:sz="4" w:space="0"/>
              <w:right w:val="single" w:color="auto" w:sz="4" w:space="0"/>
            </w:tcBorders>
            <w:vAlign w:val="center"/>
          </w:tcPr>
          <w:p>
            <w:pPr>
              <w:widowControl/>
              <w:spacing w:line="540" w:lineRule="exact"/>
              <w:jc w:val="center"/>
              <w:rPr>
                <w:rFonts w:hint="eastAsia" w:ascii="Times New Roman" w:hAnsi="Times New Roman" w:eastAsia="仿宋_GB2312" w:cs="宋体"/>
                <w:bCs/>
                <w:kern w:val="0"/>
                <w:sz w:val="28"/>
                <w:szCs w:val="28"/>
              </w:rPr>
            </w:pPr>
          </w:p>
        </w:tc>
        <w:tc>
          <w:tcPr>
            <w:tcW w:w="653"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540" w:lineRule="exact"/>
              <w:jc w:val="center"/>
              <w:rPr>
                <w:rFonts w:hint="eastAsia" w:ascii="Times New Roman" w:hAnsi="Times New Roman" w:eastAsia="仿宋_GB2312" w:cs="宋体"/>
                <w:bCs/>
                <w:kern w:val="0"/>
                <w:sz w:val="28"/>
                <w:szCs w:val="28"/>
              </w:rPr>
            </w:pPr>
          </w:p>
        </w:tc>
        <w:tc>
          <w:tcPr>
            <w:tcW w:w="57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540" w:lineRule="exact"/>
              <w:jc w:val="center"/>
              <w:rPr>
                <w:rFonts w:hint="eastAsia" w:ascii="Times New Roman" w:hAnsi="Times New Roman" w:eastAsia="仿宋_GB2312" w:cs="宋体"/>
                <w:bCs/>
                <w:kern w:val="0"/>
                <w:sz w:val="28"/>
                <w:szCs w:val="28"/>
              </w:rPr>
            </w:pPr>
          </w:p>
        </w:tc>
        <w:tc>
          <w:tcPr>
            <w:tcW w:w="513" w:type="pct"/>
            <w:vMerge w:val="continue"/>
            <w:tcBorders>
              <w:top w:val="single" w:color="auto" w:sz="4" w:space="0"/>
              <w:left w:val="single" w:color="auto" w:sz="4" w:space="0"/>
              <w:bottom w:val="single" w:color="000000" w:sz="4" w:space="0"/>
              <w:right w:val="single" w:color="auto" w:sz="4" w:space="0"/>
            </w:tcBorders>
            <w:vAlign w:val="center"/>
          </w:tcPr>
          <w:p>
            <w:pPr>
              <w:widowControl/>
              <w:spacing w:line="540" w:lineRule="exact"/>
              <w:jc w:val="center"/>
              <w:rPr>
                <w:rFonts w:hint="eastAsia" w:ascii="Times New Roman" w:hAnsi="Times New Roman" w:eastAsia="仿宋_GB2312" w:cs="宋体"/>
                <w:bCs/>
                <w:kern w:val="0"/>
                <w:sz w:val="28"/>
                <w:szCs w:val="28"/>
              </w:rPr>
            </w:pPr>
          </w:p>
        </w:tc>
        <w:tc>
          <w:tcPr>
            <w:tcW w:w="1449"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540" w:lineRule="exact"/>
              <w:jc w:val="center"/>
              <w:rPr>
                <w:rFonts w:hint="eastAsia" w:ascii="Times New Roman" w:hAnsi="Times New Roman" w:eastAsia="仿宋_GB2312" w:cs="宋体"/>
                <w:bCs/>
                <w:kern w:val="0"/>
                <w:sz w:val="28"/>
                <w:szCs w:val="28"/>
              </w:rPr>
            </w:pPr>
          </w:p>
        </w:tc>
        <w:tc>
          <w:tcPr>
            <w:tcW w:w="588" w:type="pct"/>
            <w:vMerge w:val="continue"/>
            <w:tcBorders>
              <w:top w:val="single" w:color="auto" w:sz="4" w:space="0"/>
              <w:left w:val="single" w:color="auto" w:sz="4" w:space="0"/>
              <w:bottom w:val="single" w:color="000000" w:sz="4" w:space="0"/>
              <w:right w:val="single" w:color="auto" w:sz="4" w:space="0"/>
            </w:tcBorders>
            <w:vAlign w:val="center"/>
          </w:tcPr>
          <w:p>
            <w:pPr>
              <w:widowControl/>
              <w:spacing w:line="540" w:lineRule="exact"/>
              <w:jc w:val="center"/>
              <w:rPr>
                <w:rFonts w:hint="eastAsia" w:ascii="Times New Roman" w:hAnsi="Times New Roman" w:eastAsia="仿宋_GB2312" w:cs="宋体"/>
                <w:bCs/>
                <w:kern w:val="0"/>
                <w:sz w:val="28"/>
                <w:szCs w:val="28"/>
              </w:rPr>
            </w:pPr>
          </w:p>
        </w:tc>
      </w:tr>
      <w:tr>
        <w:tblPrEx>
          <w:tblCellMar>
            <w:top w:w="0" w:type="dxa"/>
            <w:left w:w="108" w:type="dxa"/>
            <w:bottom w:w="0" w:type="dxa"/>
            <w:right w:w="108" w:type="dxa"/>
          </w:tblCellMar>
        </w:tblPrEx>
        <w:trPr>
          <w:trHeight w:val="288" w:hRule="atLeast"/>
        </w:trPr>
        <w:tc>
          <w:tcPr>
            <w:tcW w:w="476" w:type="pct"/>
            <w:tcBorders>
              <w:top w:val="nil"/>
              <w:left w:val="single" w:color="auto" w:sz="4" w:space="0"/>
              <w:bottom w:val="single" w:color="auto" w:sz="4" w:space="0"/>
              <w:right w:val="single" w:color="auto" w:sz="4" w:space="0"/>
            </w:tcBorders>
            <w:noWrap/>
            <w:vAlign w:val="center"/>
          </w:tcPr>
          <w:p>
            <w:pPr>
              <w:widowControl/>
              <w:spacing w:line="44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1</w:t>
            </w:r>
          </w:p>
        </w:tc>
        <w:tc>
          <w:tcPr>
            <w:tcW w:w="747" w:type="pct"/>
            <w:tcBorders>
              <w:top w:val="nil"/>
              <w:left w:val="nil"/>
              <w:bottom w:val="single" w:color="auto" w:sz="4" w:space="0"/>
              <w:right w:val="single" w:color="auto" w:sz="4" w:space="0"/>
            </w:tcBorders>
            <w:vAlign w:val="center"/>
          </w:tcPr>
          <w:p>
            <w:pPr>
              <w:widowControl/>
              <w:spacing w:line="44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香山沟</w:t>
            </w:r>
          </w:p>
        </w:tc>
        <w:tc>
          <w:tcPr>
            <w:tcW w:w="653" w:type="pct"/>
            <w:tcBorders>
              <w:top w:val="nil"/>
              <w:left w:val="nil"/>
              <w:bottom w:val="single" w:color="auto" w:sz="4" w:space="0"/>
              <w:right w:val="single" w:color="auto" w:sz="4" w:space="0"/>
            </w:tcBorders>
            <w:vAlign w:val="center"/>
          </w:tcPr>
          <w:p>
            <w:pPr>
              <w:widowControl/>
              <w:spacing w:line="44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扎鲁特旗</w:t>
            </w:r>
          </w:p>
        </w:tc>
        <w:tc>
          <w:tcPr>
            <w:tcW w:w="572" w:type="pct"/>
            <w:tcBorders>
              <w:top w:val="nil"/>
              <w:left w:val="nil"/>
              <w:bottom w:val="single" w:color="auto" w:sz="4" w:space="0"/>
              <w:right w:val="single" w:color="auto" w:sz="4" w:space="0"/>
            </w:tcBorders>
            <w:vAlign w:val="center"/>
          </w:tcPr>
          <w:p>
            <w:pPr>
              <w:widowControl/>
              <w:spacing w:line="44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A</w:t>
            </w:r>
          </w:p>
        </w:tc>
        <w:tc>
          <w:tcPr>
            <w:tcW w:w="513" w:type="pct"/>
            <w:tcBorders>
              <w:top w:val="nil"/>
              <w:left w:val="nil"/>
              <w:bottom w:val="single" w:color="auto" w:sz="4" w:space="0"/>
              <w:right w:val="single" w:color="auto" w:sz="4" w:space="0"/>
            </w:tcBorders>
            <w:vAlign w:val="center"/>
          </w:tcPr>
          <w:p>
            <w:pPr>
              <w:widowControl/>
              <w:spacing w:line="44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 xml:space="preserve">规划 </w:t>
            </w:r>
          </w:p>
        </w:tc>
        <w:tc>
          <w:tcPr>
            <w:tcW w:w="1449" w:type="pct"/>
            <w:tcBorders>
              <w:top w:val="nil"/>
              <w:left w:val="nil"/>
              <w:bottom w:val="single" w:color="auto" w:sz="4" w:space="0"/>
              <w:right w:val="single" w:color="auto" w:sz="4" w:space="0"/>
            </w:tcBorders>
            <w:vAlign w:val="center"/>
          </w:tcPr>
          <w:p>
            <w:pPr>
              <w:widowControl/>
              <w:spacing w:line="44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堤防、护岸及沟道疏浚等</w:t>
            </w:r>
          </w:p>
        </w:tc>
        <w:tc>
          <w:tcPr>
            <w:tcW w:w="588" w:type="pct"/>
            <w:tcBorders>
              <w:top w:val="nil"/>
              <w:left w:val="nil"/>
              <w:bottom w:val="single" w:color="auto" w:sz="4" w:space="0"/>
              <w:right w:val="single" w:color="auto" w:sz="4" w:space="0"/>
            </w:tcBorders>
            <w:vAlign w:val="center"/>
          </w:tcPr>
          <w:p>
            <w:pPr>
              <w:widowControl/>
              <w:spacing w:line="44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0.1</w:t>
            </w:r>
          </w:p>
        </w:tc>
      </w:tr>
      <w:tr>
        <w:tblPrEx>
          <w:tblCellMar>
            <w:top w:w="0" w:type="dxa"/>
            <w:left w:w="108" w:type="dxa"/>
            <w:bottom w:w="0" w:type="dxa"/>
            <w:right w:w="108" w:type="dxa"/>
          </w:tblCellMar>
        </w:tblPrEx>
        <w:trPr>
          <w:trHeight w:val="288" w:hRule="atLeast"/>
        </w:trPr>
        <w:tc>
          <w:tcPr>
            <w:tcW w:w="476" w:type="pct"/>
            <w:tcBorders>
              <w:top w:val="nil"/>
              <w:left w:val="single" w:color="auto" w:sz="4" w:space="0"/>
              <w:bottom w:val="single" w:color="auto" w:sz="4" w:space="0"/>
              <w:right w:val="single" w:color="auto" w:sz="4" w:space="0"/>
            </w:tcBorders>
            <w:noWrap/>
            <w:vAlign w:val="center"/>
          </w:tcPr>
          <w:p>
            <w:pPr>
              <w:widowControl/>
              <w:spacing w:line="44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2</w:t>
            </w:r>
          </w:p>
        </w:tc>
        <w:tc>
          <w:tcPr>
            <w:tcW w:w="747" w:type="pct"/>
            <w:tcBorders>
              <w:top w:val="nil"/>
              <w:left w:val="nil"/>
              <w:bottom w:val="single" w:color="auto" w:sz="4" w:space="0"/>
              <w:right w:val="single" w:color="auto" w:sz="4" w:space="0"/>
            </w:tcBorders>
            <w:vAlign w:val="center"/>
          </w:tcPr>
          <w:p>
            <w:pPr>
              <w:widowControl/>
              <w:spacing w:line="44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塔格塔图沟</w:t>
            </w:r>
          </w:p>
        </w:tc>
        <w:tc>
          <w:tcPr>
            <w:tcW w:w="653" w:type="pct"/>
            <w:tcBorders>
              <w:top w:val="nil"/>
              <w:left w:val="nil"/>
              <w:bottom w:val="single" w:color="auto" w:sz="4" w:space="0"/>
              <w:right w:val="single" w:color="auto" w:sz="4" w:space="0"/>
            </w:tcBorders>
            <w:vAlign w:val="center"/>
          </w:tcPr>
          <w:p>
            <w:pPr>
              <w:widowControl/>
              <w:spacing w:line="44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扎鲁特旗</w:t>
            </w:r>
          </w:p>
        </w:tc>
        <w:tc>
          <w:tcPr>
            <w:tcW w:w="572" w:type="pct"/>
            <w:tcBorders>
              <w:top w:val="nil"/>
              <w:left w:val="nil"/>
              <w:bottom w:val="single" w:color="auto" w:sz="4" w:space="0"/>
              <w:right w:val="single" w:color="auto" w:sz="4" w:space="0"/>
            </w:tcBorders>
            <w:vAlign w:val="center"/>
          </w:tcPr>
          <w:p>
            <w:pPr>
              <w:widowControl/>
              <w:spacing w:line="44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D</w:t>
            </w:r>
          </w:p>
        </w:tc>
        <w:tc>
          <w:tcPr>
            <w:tcW w:w="513" w:type="pct"/>
            <w:tcBorders>
              <w:top w:val="nil"/>
              <w:left w:val="nil"/>
              <w:bottom w:val="single" w:color="auto" w:sz="4" w:space="0"/>
              <w:right w:val="single" w:color="auto" w:sz="4" w:space="0"/>
            </w:tcBorders>
            <w:vAlign w:val="center"/>
          </w:tcPr>
          <w:p>
            <w:pPr>
              <w:widowControl/>
              <w:spacing w:line="44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规划</w:t>
            </w:r>
          </w:p>
        </w:tc>
        <w:tc>
          <w:tcPr>
            <w:tcW w:w="1449" w:type="pct"/>
            <w:tcBorders>
              <w:top w:val="nil"/>
              <w:left w:val="nil"/>
              <w:bottom w:val="single" w:color="auto" w:sz="4" w:space="0"/>
              <w:right w:val="single" w:color="auto" w:sz="4" w:space="0"/>
            </w:tcBorders>
            <w:vAlign w:val="center"/>
          </w:tcPr>
          <w:p>
            <w:pPr>
              <w:widowControl/>
              <w:spacing w:line="44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堤防、护岸及沟道疏浚等</w:t>
            </w:r>
          </w:p>
        </w:tc>
        <w:tc>
          <w:tcPr>
            <w:tcW w:w="588" w:type="pct"/>
            <w:tcBorders>
              <w:top w:val="nil"/>
              <w:left w:val="nil"/>
              <w:bottom w:val="single" w:color="auto" w:sz="4" w:space="0"/>
              <w:right w:val="single" w:color="auto" w:sz="4" w:space="0"/>
            </w:tcBorders>
            <w:vAlign w:val="center"/>
          </w:tcPr>
          <w:p>
            <w:pPr>
              <w:widowControl/>
              <w:spacing w:line="44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0.1</w:t>
            </w:r>
          </w:p>
        </w:tc>
      </w:tr>
      <w:tr>
        <w:tblPrEx>
          <w:tblCellMar>
            <w:top w:w="0" w:type="dxa"/>
            <w:left w:w="108" w:type="dxa"/>
            <w:bottom w:w="0" w:type="dxa"/>
            <w:right w:w="108" w:type="dxa"/>
          </w:tblCellMar>
        </w:tblPrEx>
        <w:trPr>
          <w:trHeight w:val="288" w:hRule="atLeast"/>
        </w:trPr>
        <w:tc>
          <w:tcPr>
            <w:tcW w:w="476" w:type="pct"/>
            <w:tcBorders>
              <w:top w:val="nil"/>
              <w:left w:val="single" w:color="auto" w:sz="4" w:space="0"/>
              <w:bottom w:val="single" w:color="auto" w:sz="4" w:space="0"/>
              <w:right w:val="single" w:color="auto" w:sz="4" w:space="0"/>
            </w:tcBorders>
            <w:noWrap/>
            <w:vAlign w:val="center"/>
          </w:tcPr>
          <w:p>
            <w:pPr>
              <w:widowControl/>
              <w:spacing w:line="44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3</w:t>
            </w:r>
          </w:p>
        </w:tc>
        <w:tc>
          <w:tcPr>
            <w:tcW w:w="747" w:type="pct"/>
            <w:tcBorders>
              <w:top w:val="nil"/>
              <w:left w:val="nil"/>
              <w:bottom w:val="single" w:color="auto" w:sz="4" w:space="0"/>
              <w:right w:val="single" w:color="auto" w:sz="4" w:space="0"/>
            </w:tcBorders>
            <w:vAlign w:val="center"/>
          </w:tcPr>
          <w:p>
            <w:pPr>
              <w:widowControl/>
              <w:spacing w:line="44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清水塘</w:t>
            </w:r>
          </w:p>
        </w:tc>
        <w:tc>
          <w:tcPr>
            <w:tcW w:w="653" w:type="pct"/>
            <w:tcBorders>
              <w:top w:val="nil"/>
              <w:left w:val="nil"/>
              <w:bottom w:val="single" w:color="auto" w:sz="4" w:space="0"/>
              <w:right w:val="single" w:color="auto" w:sz="4" w:space="0"/>
            </w:tcBorders>
            <w:vAlign w:val="center"/>
          </w:tcPr>
          <w:p>
            <w:pPr>
              <w:widowControl/>
              <w:spacing w:line="44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奈曼旗</w:t>
            </w:r>
          </w:p>
        </w:tc>
        <w:tc>
          <w:tcPr>
            <w:tcW w:w="572" w:type="pct"/>
            <w:tcBorders>
              <w:top w:val="nil"/>
              <w:left w:val="nil"/>
              <w:bottom w:val="single" w:color="auto" w:sz="4" w:space="0"/>
              <w:right w:val="single" w:color="auto" w:sz="4" w:space="0"/>
            </w:tcBorders>
            <w:vAlign w:val="center"/>
          </w:tcPr>
          <w:p>
            <w:pPr>
              <w:widowControl/>
              <w:spacing w:line="44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D</w:t>
            </w:r>
          </w:p>
        </w:tc>
        <w:tc>
          <w:tcPr>
            <w:tcW w:w="513" w:type="pct"/>
            <w:tcBorders>
              <w:top w:val="nil"/>
              <w:left w:val="nil"/>
              <w:bottom w:val="single" w:color="auto" w:sz="4" w:space="0"/>
              <w:right w:val="single" w:color="auto" w:sz="4" w:space="0"/>
            </w:tcBorders>
            <w:vAlign w:val="center"/>
          </w:tcPr>
          <w:p>
            <w:pPr>
              <w:widowControl/>
              <w:spacing w:line="44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规划</w:t>
            </w:r>
          </w:p>
        </w:tc>
        <w:tc>
          <w:tcPr>
            <w:tcW w:w="1449" w:type="pct"/>
            <w:tcBorders>
              <w:top w:val="nil"/>
              <w:left w:val="nil"/>
              <w:bottom w:val="single" w:color="auto" w:sz="4" w:space="0"/>
              <w:right w:val="single" w:color="auto" w:sz="4" w:space="0"/>
            </w:tcBorders>
            <w:vAlign w:val="center"/>
          </w:tcPr>
          <w:p>
            <w:pPr>
              <w:widowControl/>
              <w:spacing w:line="44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堤防、护岸及沟道疏浚等</w:t>
            </w:r>
          </w:p>
        </w:tc>
        <w:tc>
          <w:tcPr>
            <w:tcW w:w="588" w:type="pct"/>
            <w:tcBorders>
              <w:top w:val="nil"/>
              <w:left w:val="nil"/>
              <w:bottom w:val="single" w:color="auto" w:sz="4" w:space="0"/>
              <w:right w:val="single" w:color="auto" w:sz="4" w:space="0"/>
            </w:tcBorders>
            <w:vAlign w:val="center"/>
          </w:tcPr>
          <w:p>
            <w:pPr>
              <w:widowControl/>
              <w:spacing w:line="44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0.1</w:t>
            </w:r>
          </w:p>
        </w:tc>
      </w:tr>
      <w:tr>
        <w:tblPrEx>
          <w:tblCellMar>
            <w:top w:w="0" w:type="dxa"/>
            <w:left w:w="108" w:type="dxa"/>
            <w:bottom w:w="0" w:type="dxa"/>
            <w:right w:w="108" w:type="dxa"/>
          </w:tblCellMar>
        </w:tblPrEx>
        <w:trPr>
          <w:trHeight w:val="288" w:hRule="atLeast"/>
        </w:trPr>
        <w:tc>
          <w:tcPr>
            <w:tcW w:w="476" w:type="pct"/>
            <w:tcBorders>
              <w:top w:val="nil"/>
              <w:left w:val="single" w:color="auto" w:sz="4" w:space="0"/>
              <w:bottom w:val="single" w:color="auto" w:sz="4" w:space="0"/>
              <w:right w:val="single" w:color="auto" w:sz="4" w:space="0"/>
            </w:tcBorders>
            <w:noWrap/>
            <w:vAlign w:val="center"/>
          </w:tcPr>
          <w:p>
            <w:pPr>
              <w:widowControl/>
              <w:spacing w:line="44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4</w:t>
            </w:r>
          </w:p>
        </w:tc>
        <w:tc>
          <w:tcPr>
            <w:tcW w:w="747" w:type="pct"/>
            <w:tcBorders>
              <w:top w:val="nil"/>
              <w:left w:val="nil"/>
              <w:bottom w:val="single" w:color="auto" w:sz="4" w:space="0"/>
              <w:right w:val="single" w:color="auto" w:sz="4" w:space="0"/>
            </w:tcBorders>
            <w:vAlign w:val="center"/>
          </w:tcPr>
          <w:p>
            <w:pPr>
              <w:widowControl/>
              <w:spacing w:line="44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韩家杖子</w:t>
            </w:r>
          </w:p>
        </w:tc>
        <w:tc>
          <w:tcPr>
            <w:tcW w:w="653" w:type="pct"/>
            <w:tcBorders>
              <w:top w:val="nil"/>
              <w:left w:val="nil"/>
              <w:bottom w:val="single" w:color="auto" w:sz="4" w:space="0"/>
              <w:right w:val="single" w:color="auto" w:sz="4" w:space="0"/>
            </w:tcBorders>
            <w:vAlign w:val="center"/>
          </w:tcPr>
          <w:p>
            <w:pPr>
              <w:widowControl/>
              <w:spacing w:line="44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奈曼旗</w:t>
            </w:r>
          </w:p>
        </w:tc>
        <w:tc>
          <w:tcPr>
            <w:tcW w:w="572" w:type="pct"/>
            <w:tcBorders>
              <w:top w:val="nil"/>
              <w:left w:val="nil"/>
              <w:bottom w:val="single" w:color="auto" w:sz="4" w:space="0"/>
              <w:right w:val="single" w:color="auto" w:sz="4" w:space="0"/>
            </w:tcBorders>
            <w:vAlign w:val="center"/>
          </w:tcPr>
          <w:p>
            <w:pPr>
              <w:widowControl/>
              <w:spacing w:line="44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D</w:t>
            </w:r>
          </w:p>
        </w:tc>
        <w:tc>
          <w:tcPr>
            <w:tcW w:w="513" w:type="pct"/>
            <w:tcBorders>
              <w:top w:val="nil"/>
              <w:left w:val="nil"/>
              <w:bottom w:val="single" w:color="auto" w:sz="4" w:space="0"/>
              <w:right w:val="single" w:color="auto" w:sz="4" w:space="0"/>
            </w:tcBorders>
            <w:vAlign w:val="center"/>
          </w:tcPr>
          <w:p>
            <w:pPr>
              <w:widowControl/>
              <w:spacing w:line="44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规划</w:t>
            </w:r>
          </w:p>
        </w:tc>
        <w:tc>
          <w:tcPr>
            <w:tcW w:w="1449" w:type="pct"/>
            <w:tcBorders>
              <w:top w:val="nil"/>
              <w:left w:val="nil"/>
              <w:bottom w:val="single" w:color="auto" w:sz="4" w:space="0"/>
              <w:right w:val="single" w:color="auto" w:sz="4" w:space="0"/>
            </w:tcBorders>
            <w:vAlign w:val="center"/>
          </w:tcPr>
          <w:p>
            <w:pPr>
              <w:widowControl/>
              <w:spacing w:line="44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堤防、护岸及沟道疏浚等</w:t>
            </w:r>
          </w:p>
        </w:tc>
        <w:tc>
          <w:tcPr>
            <w:tcW w:w="588" w:type="pct"/>
            <w:tcBorders>
              <w:top w:val="nil"/>
              <w:left w:val="nil"/>
              <w:bottom w:val="single" w:color="auto" w:sz="4" w:space="0"/>
              <w:right w:val="single" w:color="auto" w:sz="4" w:space="0"/>
            </w:tcBorders>
            <w:vAlign w:val="center"/>
          </w:tcPr>
          <w:p>
            <w:pPr>
              <w:widowControl/>
              <w:spacing w:line="44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0.1</w:t>
            </w:r>
          </w:p>
        </w:tc>
      </w:tr>
      <w:tr>
        <w:tblPrEx>
          <w:tblCellMar>
            <w:top w:w="0" w:type="dxa"/>
            <w:left w:w="108" w:type="dxa"/>
            <w:bottom w:w="0" w:type="dxa"/>
            <w:right w:w="108" w:type="dxa"/>
          </w:tblCellMar>
        </w:tblPrEx>
        <w:trPr>
          <w:trHeight w:val="288" w:hRule="atLeast"/>
        </w:trPr>
        <w:tc>
          <w:tcPr>
            <w:tcW w:w="476" w:type="pct"/>
            <w:tcBorders>
              <w:top w:val="nil"/>
              <w:left w:val="single" w:color="auto" w:sz="4" w:space="0"/>
              <w:bottom w:val="single" w:color="auto" w:sz="4" w:space="0"/>
              <w:right w:val="single" w:color="auto" w:sz="4" w:space="0"/>
            </w:tcBorders>
            <w:noWrap/>
            <w:vAlign w:val="center"/>
          </w:tcPr>
          <w:p>
            <w:pPr>
              <w:widowControl/>
              <w:spacing w:line="44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　</w:t>
            </w:r>
          </w:p>
        </w:tc>
        <w:tc>
          <w:tcPr>
            <w:tcW w:w="747" w:type="pct"/>
            <w:tcBorders>
              <w:top w:val="nil"/>
              <w:left w:val="nil"/>
              <w:bottom w:val="single" w:color="auto" w:sz="4" w:space="0"/>
              <w:right w:val="single" w:color="auto" w:sz="4" w:space="0"/>
            </w:tcBorders>
            <w:vAlign w:val="center"/>
          </w:tcPr>
          <w:p>
            <w:pPr>
              <w:widowControl/>
              <w:spacing w:line="44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合计</w:t>
            </w:r>
          </w:p>
        </w:tc>
        <w:tc>
          <w:tcPr>
            <w:tcW w:w="653" w:type="pct"/>
            <w:tcBorders>
              <w:top w:val="nil"/>
              <w:left w:val="nil"/>
              <w:bottom w:val="single" w:color="auto" w:sz="4" w:space="0"/>
              <w:right w:val="single" w:color="auto" w:sz="4" w:space="0"/>
            </w:tcBorders>
            <w:noWrap/>
            <w:vAlign w:val="center"/>
          </w:tcPr>
          <w:p>
            <w:pPr>
              <w:widowControl/>
              <w:spacing w:line="44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　</w:t>
            </w:r>
          </w:p>
        </w:tc>
        <w:tc>
          <w:tcPr>
            <w:tcW w:w="572" w:type="pct"/>
            <w:tcBorders>
              <w:top w:val="nil"/>
              <w:left w:val="nil"/>
              <w:bottom w:val="single" w:color="auto" w:sz="4" w:space="0"/>
              <w:right w:val="single" w:color="auto" w:sz="4" w:space="0"/>
            </w:tcBorders>
            <w:noWrap/>
            <w:vAlign w:val="center"/>
          </w:tcPr>
          <w:p>
            <w:pPr>
              <w:widowControl/>
              <w:spacing w:line="44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　</w:t>
            </w:r>
          </w:p>
        </w:tc>
        <w:tc>
          <w:tcPr>
            <w:tcW w:w="513" w:type="pct"/>
            <w:tcBorders>
              <w:top w:val="nil"/>
              <w:left w:val="nil"/>
              <w:bottom w:val="single" w:color="auto" w:sz="4" w:space="0"/>
              <w:right w:val="single" w:color="auto" w:sz="4" w:space="0"/>
            </w:tcBorders>
            <w:noWrap/>
            <w:vAlign w:val="center"/>
          </w:tcPr>
          <w:p>
            <w:pPr>
              <w:widowControl/>
              <w:spacing w:line="44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　</w:t>
            </w:r>
          </w:p>
        </w:tc>
        <w:tc>
          <w:tcPr>
            <w:tcW w:w="1449" w:type="pct"/>
            <w:tcBorders>
              <w:top w:val="nil"/>
              <w:left w:val="nil"/>
              <w:bottom w:val="single" w:color="auto" w:sz="4" w:space="0"/>
              <w:right w:val="single" w:color="auto" w:sz="4" w:space="0"/>
            </w:tcBorders>
            <w:noWrap/>
            <w:vAlign w:val="center"/>
          </w:tcPr>
          <w:p>
            <w:pPr>
              <w:widowControl/>
              <w:spacing w:line="44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　</w:t>
            </w:r>
          </w:p>
        </w:tc>
        <w:tc>
          <w:tcPr>
            <w:tcW w:w="588" w:type="pct"/>
            <w:tcBorders>
              <w:top w:val="nil"/>
              <w:left w:val="nil"/>
              <w:bottom w:val="single" w:color="auto" w:sz="4" w:space="0"/>
              <w:right w:val="single" w:color="auto" w:sz="4" w:space="0"/>
            </w:tcBorders>
            <w:vAlign w:val="center"/>
          </w:tcPr>
          <w:p>
            <w:pPr>
              <w:widowControl/>
              <w:spacing w:line="44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0.4</w:t>
            </w:r>
          </w:p>
        </w:tc>
      </w:tr>
    </w:tbl>
    <w:p>
      <w:pPr>
        <w:spacing w:line="560" w:lineRule="exact"/>
        <w:ind w:firstLine="640" w:firstLineChars="200"/>
        <w:rPr>
          <w:rFonts w:hint="eastAsia" w:ascii="Times New Roman" w:hAnsi="Times New Roman" w:eastAsia="楷体_GB2312"/>
          <w:sz w:val="32"/>
          <w:szCs w:val="32"/>
        </w:rPr>
      </w:pPr>
      <w:r>
        <w:rPr>
          <w:rFonts w:hint="eastAsia" w:ascii="Times New Roman" w:hAnsi="Times New Roman" w:eastAsia="楷体_GB2312"/>
          <w:sz w:val="32"/>
          <w:szCs w:val="32"/>
        </w:rPr>
        <w:t>（三）加强水生态水环境修复</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坚持保护优先、自然恢复与治理修复相结合，处理好开发与保护的关系，加大水资源及河湖生态保护力度，加强水土流失治理，对社会资源水环境超采区进行修复治理，大力推进水生态文明建设。</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1. 西辽河流域水生态保护措施</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针对内蒙古西辽河流域目前的生态问题，充分应用遥感高分数据，摸清西辽河流域的情况，坚持问题导向，按照近远结合、综合施策、突出重点的原则，严格控制水资源开发利用程度，以切实解决水资源短缺加剧、水生态损害严重问题，建立内蒙古“量水而行”长效机制为目标，对存在问题及成因进行梳理和系统分析，明确了内蒙古西辽河流域“量水而行”以水定需的总体思路和治理目标，研究提出“管”“节”“控”“调”“保”相结合的综合治理措施与保障方案。主要包括强化用水总量管控、完善主要控制断面水量监测设施、对主要地表水灌区实施监测、开展内蒙古西辽河流域水量调度、开展“以电折水”计量系数率定、实施农业高效节水等工作。切实加强生态保护和管理，落实各级人民政府主体责任和相关部门监管责任，建立水资源保护的长效机制，从多方面确保治理措施和方案的顺利实施。该工程估算总投资为86.43亿元，“十四五”期间总投资5亿元。</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2. 开展流域山水林田湖草沙系统治理</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通过“地下水动态监测网络建设”“科左后旗河湖连通工程”“中水回用设施及管网工程”“地下水水源地保护工程”“北部山区小流域综合治理工程”“科左中旗河湖湿地连通工程”“山洪侵蚀沟治理工程”等7个项目组成的第四批山水林田湖草沙生态保护修复工程，统筹山水林田湖草沙系统治理，保护与恢复河流湿地水力连通性。该工程“十四五”期间总投资11.52亿元。</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3. 深化河湖长制工作</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河湖长制是山水林田湖草沙系统治理、实现水生态系统保护的重要抓手，“十四五”期间，我市将继续全面大力推行河湖长制，持续改善我市河湖水生态环境，建设生态和谐的幸福河湖，2025年，重要河湖水域岸线监管率达到60%。对已划定管理范围的河流湖泊设立界桩，为下一步的确权打下基础，预计总投资0.2亿元。</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4. 水土流失治理</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通过水土保持重点治理工程，通辽市“十四五”期间新增水土流失综合治理面积249.39平方公里，治理沟道150条。“十四五”期间总投资2.05亿元。</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该工程各项目情况如下表3-9、3-10所示。</w:t>
      </w:r>
    </w:p>
    <w:p>
      <w:pPr>
        <w:spacing w:line="560" w:lineRule="exact"/>
        <w:rPr>
          <w:rFonts w:ascii="Times New Roman" w:hAnsi="Times New Roman" w:eastAsia="仿宋_GB2312"/>
          <w:sz w:val="32"/>
          <w:szCs w:val="32"/>
        </w:rPr>
      </w:pPr>
    </w:p>
    <w:p>
      <w:pPr>
        <w:spacing w:line="540" w:lineRule="exact"/>
        <w:jc w:val="center"/>
        <w:rPr>
          <w:rFonts w:hint="eastAsia" w:ascii="Times New Roman" w:hAnsi="Times New Roman" w:eastAsia="黑体" w:cs="仿宋_GB2312"/>
          <w:sz w:val="32"/>
          <w:szCs w:val="32"/>
          <w:lang w:val="zh-TW"/>
        </w:rPr>
      </w:pPr>
      <w:r>
        <w:rPr>
          <w:rFonts w:hint="eastAsia" w:ascii="Times New Roman" w:hAnsi="Times New Roman" w:eastAsia="黑体" w:cs="仿宋_GB2312"/>
          <w:sz w:val="32"/>
          <w:szCs w:val="32"/>
          <w:lang w:val="zh-TW"/>
        </w:rPr>
        <w:t>表3-9  山水林田湖草沙生态保护修复项目项目统计表</w:t>
      </w:r>
    </w:p>
    <w:tbl>
      <w:tblPr>
        <w:tblStyle w:val="8"/>
        <w:tblW w:w="5252" w:type="pct"/>
        <w:tblInd w:w="-336" w:type="dxa"/>
        <w:tblLayout w:type="fixed"/>
        <w:tblCellMar>
          <w:top w:w="0" w:type="dxa"/>
          <w:left w:w="108" w:type="dxa"/>
          <w:bottom w:w="0" w:type="dxa"/>
          <w:right w:w="108" w:type="dxa"/>
        </w:tblCellMar>
      </w:tblPr>
      <w:tblGrid>
        <w:gridCol w:w="399"/>
        <w:gridCol w:w="1514"/>
        <w:gridCol w:w="1652"/>
        <w:gridCol w:w="447"/>
        <w:gridCol w:w="824"/>
        <w:gridCol w:w="3628"/>
        <w:gridCol w:w="1053"/>
      </w:tblGrid>
      <w:tr>
        <w:tblPrEx>
          <w:tblCellMar>
            <w:top w:w="0" w:type="dxa"/>
            <w:left w:w="108" w:type="dxa"/>
            <w:bottom w:w="0" w:type="dxa"/>
            <w:right w:w="108" w:type="dxa"/>
          </w:tblCellMar>
        </w:tblPrEx>
        <w:trPr>
          <w:trHeight w:val="400" w:hRule="atLeast"/>
        </w:trPr>
        <w:tc>
          <w:tcPr>
            <w:tcW w:w="209" w:type="pct"/>
            <w:vMerge w:val="restart"/>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hint="eastAsia" w:ascii="黑体" w:hAnsi="黑体" w:eastAsia="黑体" w:cs="宋体"/>
                <w:bCs/>
                <w:kern w:val="0"/>
                <w:sz w:val="28"/>
                <w:szCs w:val="28"/>
              </w:rPr>
            </w:pPr>
            <w:r>
              <w:rPr>
                <w:rFonts w:hint="eastAsia" w:ascii="黑体" w:hAnsi="黑体" w:eastAsia="黑体" w:cs="宋体"/>
                <w:bCs/>
                <w:kern w:val="0"/>
                <w:sz w:val="28"/>
                <w:szCs w:val="28"/>
              </w:rPr>
              <w:t>序号</w:t>
            </w:r>
          </w:p>
        </w:tc>
        <w:tc>
          <w:tcPr>
            <w:tcW w:w="794" w:type="pct"/>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hint="eastAsia" w:ascii="黑体" w:hAnsi="黑体" w:eastAsia="黑体" w:cs="宋体"/>
                <w:bCs/>
                <w:kern w:val="0"/>
                <w:sz w:val="28"/>
                <w:szCs w:val="28"/>
              </w:rPr>
            </w:pPr>
            <w:r>
              <w:rPr>
                <w:rFonts w:hint="eastAsia" w:ascii="黑体" w:hAnsi="黑体" w:eastAsia="黑体" w:cs="宋体"/>
                <w:bCs/>
                <w:kern w:val="0"/>
                <w:sz w:val="28"/>
                <w:szCs w:val="28"/>
              </w:rPr>
              <w:t>项目名称</w:t>
            </w:r>
          </w:p>
        </w:tc>
        <w:tc>
          <w:tcPr>
            <w:tcW w:w="868" w:type="pct"/>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hint="eastAsia" w:ascii="黑体" w:hAnsi="黑体" w:eastAsia="黑体" w:cs="宋体"/>
                <w:bCs/>
                <w:kern w:val="0"/>
                <w:sz w:val="28"/>
                <w:szCs w:val="28"/>
              </w:rPr>
            </w:pPr>
            <w:r>
              <w:rPr>
                <w:rFonts w:hint="eastAsia" w:ascii="黑体" w:hAnsi="黑体" w:eastAsia="黑体" w:cs="宋体"/>
                <w:bCs/>
                <w:kern w:val="0"/>
                <w:sz w:val="28"/>
                <w:szCs w:val="28"/>
              </w:rPr>
              <w:t>所在旗县</w:t>
            </w:r>
          </w:p>
        </w:tc>
        <w:tc>
          <w:tcPr>
            <w:tcW w:w="235" w:type="pct"/>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hint="eastAsia" w:ascii="黑体" w:hAnsi="黑体" w:eastAsia="黑体" w:cs="宋体"/>
                <w:bCs/>
                <w:kern w:val="0"/>
                <w:sz w:val="28"/>
                <w:szCs w:val="28"/>
              </w:rPr>
            </w:pPr>
            <w:r>
              <w:rPr>
                <w:rFonts w:hint="eastAsia" w:ascii="黑体" w:hAnsi="黑体" w:eastAsia="黑体" w:cs="宋体"/>
                <w:bCs/>
                <w:kern w:val="0"/>
                <w:sz w:val="28"/>
                <w:szCs w:val="28"/>
              </w:rPr>
              <w:t>类别</w:t>
            </w:r>
          </w:p>
        </w:tc>
        <w:tc>
          <w:tcPr>
            <w:tcW w:w="433" w:type="pct"/>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hint="eastAsia" w:ascii="黑体" w:hAnsi="黑体" w:eastAsia="黑体" w:cs="宋体"/>
                <w:bCs/>
                <w:kern w:val="0"/>
                <w:sz w:val="28"/>
                <w:szCs w:val="28"/>
              </w:rPr>
            </w:pPr>
            <w:r>
              <w:rPr>
                <w:rFonts w:hint="eastAsia" w:ascii="黑体" w:hAnsi="黑体" w:eastAsia="黑体" w:cs="宋体"/>
                <w:bCs/>
                <w:kern w:val="0"/>
                <w:sz w:val="28"/>
                <w:szCs w:val="28"/>
              </w:rPr>
              <w:t>前期工作情况</w:t>
            </w:r>
          </w:p>
        </w:tc>
        <w:tc>
          <w:tcPr>
            <w:tcW w:w="1905" w:type="pct"/>
            <w:vMerge w:val="restar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hint="eastAsia" w:ascii="黑体" w:hAnsi="黑体" w:eastAsia="黑体" w:cs="宋体"/>
                <w:bCs/>
                <w:kern w:val="0"/>
                <w:sz w:val="28"/>
                <w:szCs w:val="28"/>
              </w:rPr>
            </w:pPr>
            <w:r>
              <w:rPr>
                <w:rFonts w:hint="eastAsia" w:ascii="黑体" w:hAnsi="黑体" w:eastAsia="黑体" w:cs="宋体"/>
                <w:bCs/>
                <w:kern w:val="0"/>
                <w:sz w:val="28"/>
                <w:szCs w:val="28"/>
              </w:rPr>
              <w:t>工程规模/数量</w:t>
            </w:r>
          </w:p>
        </w:tc>
        <w:tc>
          <w:tcPr>
            <w:tcW w:w="553" w:type="pct"/>
            <w:vMerge w:val="restart"/>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hint="eastAsia" w:ascii="黑体" w:hAnsi="黑体" w:eastAsia="黑体" w:cs="宋体"/>
                <w:bCs/>
                <w:kern w:val="0"/>
                <w:sz w:val="28"/>
                <w:szCs w:val="28"/>
              </w:rPr>
            </w:pPr>
            <w:r>
              <w:rPr>
                <w:rFonts w:hint="eastAsia" w:ascii="黑体" w:hAnsi="黑体" w:eastAsia="黑体" w:cs="宋体"/>
                <w:bCs/>
                <w:kern w:val="0"/>
                <w:sz w:val="28"/>
                <w:szCs w:val="28"/>
              </w:rPr>
              <w:t>十四五投资（亿元）</w:t>
            </w:r>
          </w:p>
        </w:tc>
      </w:tr>
      <w:tr>
        <w:tblPrEx>
          <w:tblCellMar>
            <w:top w:w="0" w:type="dxa"/>
            <w:left w:w="108" w:type="dxa"/>
            <w:bottom w:w="0" w:type="dxa"/>
            <w:right w:w="108" w:type="dxa"/>
          </w:tblCellMar>
        </w:tblPrEx>
        <w:trPr>
          <w:trHeight w:val="400" w:hRule="atLeast"/>
        </w:trPr>
        <w:tc>
          <w:tcPr>
            <w:tcW w:w="209"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hint="eastAsia" w:ascii="Times New Roman" w:hAnsi="Times New Roman" w:eastAsia="仿宋_GB2312" w:cs="宋体"/>
                <w:bCs/>
                <w:kern w:val="0"/>
                <w:sz w:val="28"/>
                <w:szCs w:val="28"/>
              </w:rPr>
            </w:pPr>
          </w:p>
        </w:tc>
        <w:tc>
          <w:tcPr>
            <w:tcW w:w="79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hint="eastAsia" w:ascii="Times New Roman" w:hAnsi="Times New Roman" w:eastAsia="仿宋_GB2312" w:cs="宋体"/>
                <w:bCs/>
                <w:kern w:val="0"/>
                <w:sz w:val="28"/>
                <w:szCs w:val="28"/>
              </w:rPr>
            </w:pPr>
          </w:p>
        </w:tc>
        <w:tc>
          <w:tcPr>
            <w:tcW w:w="8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hint="eastAsia" w:ascii="Times New Roman" w:hAnsi="Times New Roman" w:eastAsia="仿宋_GB2312" w:cs="宋体"/>
                <w:bCs/>
                <w:kern w:val="0"/>
                <w:sz w:val="28"/>
                <w:szCs w:val="28"/>
              </w:rPr>
            </w:pPr>
          </w:p>
        </w:tc>
        <w:tc>
          <w:tcPr>
            <w:tcW w:w="23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hint="eastAsia" w:ascii="Times New Roman" w:hAnsi="Times New Roman" w:eastAsia="仿宋_GB2312" w:cs="宋体"/>
                <w:bCs/>
                <w:kern w:val="0"/>
                <w:sz w:val="28"/>
                <w:szCs w:val="28"/>
              </w:rPr>
            </w:pPr>
          </w:p>
        </w:tc>
        <w:tc>
          <w:tcPr>
            <w:tcW w:w="433"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hint="eastAsia" w:ascii="Times New Roman" w:hAnsi="Times New Roman" w:eastAsia="仿宋_GB2312" w:cs="宋体"/>
                <w:bCs/>
                <w:kern w:val="0"/>
                <w:sz w:val="28"/>
                <w:szCs w:val="28"/>
              </w:rPr>
            </w:pPr>
          </w:p>
        </w:tc>
        <w:tc>
          <w:tcPr>
            <w:tcW w:w="1905"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hint="eastAsia" w:ascii="Times New Roman" w:hAnsi="Times New Roman" w:eastAsia="仿宋_GB2312" w:cs="宋体"/>
                <w:bCs/>
                <w:kern w:val="0"/>
                <w:sz w:val="28"/>
                <w:szCs w:val="28"/>
              </w:rPr>
            </w:pPr>
          </w:p>
        </w:tc>
        <w:tc>
          <w:tcPr>
            <w:tcW w:w="553"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hint="eastAsia" w:ascii="Times New Roman" w:hAnsi="Times New Roman" w:eastAsia="仿宋_GB2312" w:cs="宋体"/>
                <w:bCs/>
                <w:kern w:val="0"/>
                <w:sz w:val="28"/>
                <w:szCs w:val="28"/>
              </w:rPr>
            </w:pPr>
          </w:p>
        </w:tc>
      </w:tr>
      <w:tr>
        <w:tblPrEx>
          <w:tblCellMar>
            <w:top w:w="0" w:type="dxa"/>
            <w:left w:w="108" w:type="dxa"/>
            <w:bottom w:w="0" w:type="dxa"/>
            <w:right w:w="108" w:type="dxa"/>
          </w:tblCellMar>
        </w:tblPrEx>
        <w:trPr>
          <w:trHeight w:val="1690" w:hRule="atLeast"/>
        </w:trPr>
        <w:tc>
          <w:tcPr>
            <w:tcW w:w="209" w:type="pct"/>
            <w:tcBorders>
              <w:top w:val="single" w:color="auto" w:sz="4" w:space="0"/>
              <w:left w:val="single" w:color="auto" w:sz="4" w:space="0"/>
              <w:bottom w:val="single" w:color="auto" w:sz="4" w:space="0"/>
              <w:right w:val="single" w:color="auto" w:sz="4" w:space="0"/>
            </w:tcBorders>
            <w:noWrap/>
            <w:vAlign w:val="center"/>
          </w:tcPr>
          <w:p>
            <w:pPr>
              <w:widowControl/>
              <w:spacing w:line="38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1</w:t>
            </w:r>
          </w:p>
        </w:tc>
        <w:tc>
          <w:tcPr>
            <w:tcW w:w="794" w:type="pc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中水回用设施及管网工程</w:t>
            </w:r>
          </w:p>
        </w:tc>
        <w:tc>
          <w:tcPr>
            <w:tcW w:w="868" w:type="pc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科尔沁区主城区、开发区和科尔沁区工业园区</w:t>
            </w:r>
          </w:p>
        </w:tc>
        <w:tc>
          <w:tcPr>
            <w:tcW w:w="235" w:type="pc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A</w:t>
            </w:r>
          </w:p>
        </w:tc>
        <w:tc>
          <w:tcPr>
            <w:tcW w:w="433" w:type="pc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可研</w:t>
            </w:r>
          </w:p>
        </w:tc>
        <w:tc>
          <w:tcPr>
            <w:tcW w:w="1905" w:type="pct"/>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 xml:space="preserve">改善项目区中水回用设施，提高区域供水管网覆盖率，将中水回用率提高10%，年节水可达7平方公里以上。 </w:t>
            </w:r>
          </w:p>
        </w:tc>
        <w:tc>
          <w:tcPr>
            <w:tcW w:w="553" w:type="pct"/>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1.47</w:t>
            </w:r>
          </w:p>
        </w:tc>
      </w:tr>
      <w:tr>
        <w:tblPrEx>
          <w:tblCellMar>
            <w:top w:w="0" w:type="dxa"/>
            <w:left w:w="108" w:type="dxa"/>
            <w:bottom w:w="0" w:type="dxa"/>
            <w:right w:w="108" w:type="dxa"/>
          </w:tblCellMar>
        </w:tblPrEx>
        <w:trPr>
          <w:trHeight w:val="1275" w:hRule="atLeast"/>
        </w:trPr>
        <w:tc>
          <w:tcPr>
            <w:tcW w:w="209" w:type="pct"/>
            <w:tcBorders>
              <w:top w:val="single" w:color="auto" w:sz="4" w:space="0"/>
              <w:left w:val="single" w:color="auto" w:sz="4" w:space="0"/>
              <w:bottom w:val="single" w:color="auto" w:sz="4" w:space="0"/>
              <w:right w:val="single" w:color="auto" w:sz="4" w:space="0"/>
            </w:tcBorders>
            <w:noWrap/>
            <w:vAlign w:val="center"/>
          </w:tcPr>
          <w:p>
            <w:pPr>
              <w:widowControl/>
              <w:spacing w:line="38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2</w:t>
            </w:r>
          </w:p>
        </w:tc>
        <w:tc>
          <w:tcPr>
            <w:tcW w:w="794" w:type="pc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地下水水源地保护工程</w:t>
            </w:r>
          </w:p>
        </w:tc>
        <w:tc>
          <w:tcPr>
            <w:tcW w:w="868" w:type="pc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科尔沁区</w:t>
            </w:r>
          </w:p>
        </w:tc>
        <w:tc>
          <w:tcPr>
            <w:tcW w:w="235" w:type="pc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A</w:t>
            </w:r>
          </w:p>
        </w:tc>
        <w:tc>
          <w:tcPr>
            <w:tcW w:w="433" w:type="pc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可研</w:t>
            </w:r>
          </w:p>
        </w:tc>
        <w:tc>
          <w:tcPr>
            <w:tcW w:w="1905" w:type="pct"/>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围栏、标识、监控</w:t>
            </w:r>
          </w:p>
        </w:tc>
        <w:tc>
          <w:tcPr>
            <w:tcW w:w="553" w:type="pct"/>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0.11</w:t>
            </w:r>
          </w:p>
        </w:tc>
      </w:tr>
      <w:tr>
        <w:tblPrEx>
          <w:tblCellMar>
            <w:top w:w="0" w:type="dxa"/>
            <w:left w:w="108" w:type="dxa"/>
            <w:bottom w:w="0" w:type="dxa"/>
            <w:right w:w="108" w:type="dxa"/>
          </w:tblCellMar>
        </w:tblPrEx>
        <w:trPr>
          <w:trHeight w:val="3401" w:hRule="atLeast"/>
        </w:trPr>
        <w:tc>
          <w:tcPr>
            <w:tcW w:w="209" w:type="pct"/>
            <w:tcBorders>
              <w:top w:val="single" w:color="auto" w:sz="4" w:space="0"/>
              <w:left w:val="single" w:color="auto" w:sz="4" w:space="0"/>
              <w:bottom w:val="single" w:color="auto" w:sz="4" w:space="0"/>
              <w:right w:val="single" w:color="auto" w:sz="4" w:space="0"/>
            </w:tcBorders>
            <w:noWrap/>
            <w:vAlign w:val="center"/>
          </w:tcPr>
          <w:p>
            <w:pPr>
              <w:widowControl/>
              <w:spacing w:line="38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3</w:t>
            </w:r>
          </w:p>
        </w:tc>
        <w:tc>
          <w:tcPr>
            <w:tcW w:w="794" w:type="pc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北部山区小流域综合治理项目</w:t>
            </w:r>
          </w:p>
        </w:tc>
        <w:tc>
          <w:tcPr>
            <w:tcW w:w="868" w:type="pc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扎鲁特旗</w:t>
            </w:r>
          </w:p>
        </w:tc>
        <w:tc>
          <w:tcPr>
            <w:tcW w:w="235" w:type="pc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A</w:t>
            </w:r>
          </w:p>
        </w:tc>
        <w:tc>
          <w:tcPr>
            <w:tcW w:w="433" w:type="pc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可研</w:t>
            </w:r>
          </w:p>
        </w:tc>
        <w:tc>
          <w:tcPr>
            <w:tcW w:w="1905" w:type="pct"/>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治理侵蚀沟 143条，治理侵蚀沟道长度 100.22公里；荒坡营造水保林 0.8108平方公里；种草135.1606平方公里；封育治理 177.7316平方公里（其中补植面积33.77平方公里），修建作业路 77.79公里，实现水土流失治理314平方公里</w:t>
            </w:r>
          </w:p>
        </w:tc>
        <w:tc>
          <w:tcPr>
            <w:tcW w:w="553" w:type="pct"/>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2.4</w:t>
            </w:r>
          </w:p>
        </w:tc>
      </w:tr>
      <w:tr>
        <w:tblPrEx>
          <w:tblCellMar>
            <w:top w:w="0" w:type="dxa"/>
            <w:left w:w="108" w:type="dxa"/>
            <w:bottom w:w="0" w:type="dxa"/>
            <w:right w:w="108" w:type="dxa"/>
          </w:tblCellMar>
        </w:tblPrEx>
        <w:trPr>
          <w:trHeight w:val="1276" w:hRule="atLeast"/>
        </w:trPr>
        <w:tc>
          <w:tcPr>
            <w:tcW w:w="209" w:type="pct"/>
            <w:tcBorders>
              <w:top w:val="single" w:color="auto" w:sz="4" w:space="0"/>
              <w:left w:val="single" w:color="auto" w:sz="4" w:space="0"/>
              <w:bottom w:val="single" w:color="auto" w:sz="4" w:space="0"/>
              <w:right w:val="single" w:color="auto" w:sz="4" w:space="0"/>
            </w:tcBorders>
            <w:noWrap/>
            <w:vAlign w:val="center"/>
          </w:tcPr>
          <w:p>
            <w:pPr>
              <w:widowControl/>
              <w:spacing w:line="38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4</w:t>
            </w:r>
          </w:p>
        </w:tc>
        <w:tc>
          <w:tcPr>
            <w:tcW w:w="794" w:type="pc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山洪侵蚀沟治理工程</w:t>
            </w:r>
          </w:p>
        </w:tc>
        <w:tc>
          <w:tcPr>
            <w:tcW w:w="868" w:type="pc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扎鲁特旗</w:t>
            </w:r>
          </w:p>
        </w:tc>
        <w:tc>
          <w:tcPr>
            <w:tcW w:w="235" w:type="pc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A</w:t>
            </w:r>
          </w:p>
        </w:tc>
        <w:tc>
          <w:tcPr>
            <w:tcW w:w="433" w:type="pc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可研</w:t>
            </w:r>
          </w:p>
        </w:tc>
        <w:tc>
          <w:tcPr>
            <w:tcW w:w="1905" w:type="pct"/>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治理山洪沟</w:t>
            </w:r>
          </w:p>
        </w:tc>
        <w:tc>
          <w:tcPr>
            <w:tcW w:w="553" w:type="pct"/>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2.03</w:t>
            </w:r>
          </w:p>
        </w:tc>
      </w:tr>
      <w:tr>
        <w:tblPrEx>
          <w:tblCellMar>
            <w:top w:w="0" w:type="dxa"/>
            <w:left w:w="108" w:type="dxa"/>
            <w:bottom w:w="0" w:type="dxa"/>
            <w:right w:w="108" w:type="dxa"/>
          </w:tblCellMar>
        </w:tblPrEx>
        <w:trPr>
          <w:trHeight w:val="4512" w:hRule="atLeast"/>
        </w:trPr>
        <w:tc>
          <w:tcPr>
            <w:tcW w:w="209" w:type="pct"/>
            <w:tcBorders>
              <w:top w:val="single" w:color="auto" w:sz="4" w:space="0"/>
              <w:left w:val="single" w:color="auto" w:sz="4" w:space="0"/>
              <w:bottom w:val="single" w:color="auto" w:sz="4" w:space="0"/>
              <w:right w:val="single" w:color="auto" w:sz="4" w:space="0"/>
            </w:tcBorders>
            <w:noWrap/>
            <w:vAlign w:val="center"/>
          </w:tcPr>
          <w:p>
            <w:pPr>
              <w:widowControl/>
              <w:spacing w:line="38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5</w:t>
            </w:r>
          </w:p>
        </w:tc>
        <w:tc>
          <w:tcPr>
            <w:tcW w:w="794" w:type="pc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科左中旗河湖湿地连通工程</w:t>
            </w:r>
          </w:p>
        </w:tc>
        <w:tc>
          <w:tcPr>
            <w:tcW w:w="868" w:type="pc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科左中旗</w:t>
            </w:r>
          </w:p>
        </w:tc>
        <w:tc>
          <w:tcPr>
            <w:tcW w:w="235" w:type="pc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A</w:t>
            </w:r>
          </w:p>
        </w:tc>
        <w:tc>
          <w:tcPr>
            <w:tcW w:w="433" w:type="pc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可研</w:t>
            </w:r>
          </w:p>
        </w:tc>
        <w:tc>
          <w:tcPr>
            <w:tcW w:w="1905" w:type="pct"/>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河湖湿地连通面积34平方公里。绿化工程：无名河两岸、如意湖湿地、科尔沁湿地生态绿化总面积0.50平方公里；取水工程：生态蓄水池1座、泵站1座、输水管道450米。引水工程：生态护岸24公里，节制闸2座；输水工程：输水管道15.42公里、泵站2座、生态蓄水池1座。</w:t>
            </w:r>
          </w:p>
        </w:tc>
        <w:tc>
          <w:tcPr>
            <w:tcW w:w="553" w:type="pct"/>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2.25</w:t>
            </w:r>
          </w:p>
        </w:tc>
      </w:tr>
      <w:tr>
        <w:tblPrEx>
          <w:tblCellMar>
            <w:top w:w="0" w:type="dxa"/>
            <w:left w:w="108" w:type="dxa"/>
            <w:bottom w:w="0" w:type="dxa"/>
            <w:right w:w="108" w:type="dxa"/>
          </w:tblCellMar>
        </w:tblPrEx>
        <w:trPr>
          <w:trHeight w:val="2660" w:hRule="atLeast"/>
        </w:trPr>
        <w:tc>
          <w:tcPr>
            <w:tcW w:w="209" w:type="pct"/>
            <w:tcBorders>
              <w:top w:val="single" w:color="auto" w:sz="4" w:space="0"/>
              <w:left w:val="single" w:color="auto" w:sz="4" w:space="0"/>
              <w:bottom w:val="single" w:color="auto" w:sz="4" w:space="0"/>
              <w:right w:val="single" w:color="auto" w:sz="4" w:space="0"/>
            </w:tcBorders>
            <w:noWrap/>
            <w:vAlign w:val="center"/>
          </w:tcPr>
          <w:p>
            <w:pPr>
              <w:widowControl/>
              <w:spacing w:line="38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6</w:t>
            </w:r>
          </w:p>
        </w:tc>
        <w:tc>
          <w:tcPr>
            <w:tcW w:w="794" w:type="pc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科左后旗河湖连通工程</w:t>
            </w:r>
          </w:p>
        </w:tc>
        <w:tc>
          <w:tcPr>
            <w:tcW w:w="868" w:type="pc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科左后旗</w:t>
            </w:r>
          </w:p>
        </w:tc>
        <w:tc>
          <w:tcPr>
            <w:tcW w:w="235" w:type="pc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A</w:t>
            </w:r>
          </w:p>
        </w:tc>
        <w:tc>
          <w:tcPr>
            <w:tcW w:w="433" w:type="pct"/>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可研</w:t>
            </w:r>
          </w:p>
        </w:tc>
        <w:tc>
          <w:tcPr>
            <w:tcW w:w="1905" w:type="pct"/>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整治疏通排涝渠道37公里，新建生态桥涵7座，滞洪区生态主堤岸300米，生态副堤岸1900米，新建生态泄洪兼灌溉涵洞1座，生态涵洞6座，建成生态调蓄湿地区域9.88平方公里</w:t>
            </w:r>
          </w:p>
        </w:tc>
        <w:tc>
          <w:tcPr>
            <w:tcW w:w="553" w:type="pct"/>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2.79</w:t>
            </w:r>
          </w:p>
        </w:tc>
      </w:tr>
      <w:tr>
        <w:tblPrEx>
          <w:tblCellMar>
            <w:top w:w="0" w:type="dxa"/>
            <w:left w:w="108" w:type="dxa"/>
            <w:bottom w:w="0" w:type="dxa"/>
            <w:right w:w="108" w:type="dxa"/>
          </w:tblCellMar>
        </w:tblPrEx>
        <w:trPr>
          <w:trHeight w:val="675" w:hRule="atLeast"/>
        </w:trPr>
        <w:tc>
          <w:tcPr>
            <w:tcW w:w="209" w:type="pct"/>
            <w:tcBorders>
              <w:top w:val="single" w:color="auto" w:sz="4" w:space="0"/>
              <w:left w:val="single" w:color="auto" w:sz="4" w:space="0"/>
              <w:bottom w:val="single" w:color="auto" w:sz="4" w:space="0"/>
              <w:right w:val="single" w:color="auto" w:sz="4" w:space="0"/>
            </w:tcBorders>
            <w:noWrap/>
            <w:vAlign w:val="center"/>
          </w:tcPr>
          <w:p>
            <w:pPr>
              <w:widowControl/>
              <w:spacing w:line="38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7</w:t>
            </w:r>
          </w:p>
        </w:tc>
        <w:tc>
          <w:tcPr>
            <w:tcW w:w="794" w:type="pct"/>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地下水动态监测网络建设</w:t>
            </w:r>
          </w:p>
        </w:tc>
        <w:tc>
          <w:tcPr>
            <w:tcW w:w="868" w:type="pct"/>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通辽市</w:t>
            </w:r>
          </w:p>
        </w:tc>
        <w:tc>
          <w:tcPr>
            <w:tcW w:w="235" w:type="pct"/>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A</w:t>
            </w:r>
          </w:p>
        </w:tc>
        <w:tc>
          <w:tcPr>
            <w:tcW w:w="433" w:type="pct"/>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可研</w:t>
            </w:r>
          </w:p>
        </w:tc>
        <w:tc>
          <w:tcPr>
            <w:tcW w:w="1905" w:type="pct"/>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地下水位长观井</w:t>
            </w:r>
          </w:p>
        </w:tc>
        <w:tc>
          <w:tcPr>
            <w:tcW w:w="553" w:type="pct"/>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0.47</w:t>
            </w:r>
          </w:p>
        </w:tc>
      </w:tr>
      <w:tr>
        <w:tblPrEx>
          <w:tblCellMar>
            <w:top w:w="0" w:type="dxa"/>
            <w:left w:w="108" w:type="dxa"/>
            <w:bottom w:w="0" w:type="dxa"/>
            <w:right w:w="108" w:type="dxa"/>
          </w:tblCellMar>
        </w:tblPrEx>
        <w:trPr>
          <w:trHeight w:val="681" w:hRule="atLeast"/>
        </w:trPr>
        <w:tc>
          <w:tcPr>
            <w:tcW w:w="1004" w:type="pct"/>
            <w:gridSpan w:val="2"/>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合计　</w:t>
            </w:r>
          </w:p>
        </w:tc>
        <w:tc>
          <w:tcPr>
            <w:tcW w:w="868" w:type="pct"/>
            <w:tcBorders>
              <w:top w:val="single" w:color="auto" w:sz="4" w:space="0"/>
              <w:left w:val="nil"/>
              <w:bottom w:val="single" w:color="auto" w:sz="4" w:space="0"/>
              <w:right w:val="single" w:color="auto" w:sz="4" w:space="0"/>
            </w:tcBorders>
            <w:noWrap/>
            <w:vAlign w:val="center"/>
          </w:tcPr>
          <w:p>
            <w:pPr>
              <w:widowControl/>
              <w:spacing w:line="38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　</w:t>
            </w:r>
          </w:p>
        </w:tc>
        <w:tc>
          <w:tcPr>
            <w:tcW w:w="235" w:type="pct"/>
            <w:tcBorders>
              <w:top w:val="single" w:color="auto" w:sz="4" w:space="0"/>
              <w:left w:val="nil"/>
              <w:bottom w:val="single" w:color="auto" w:sz="4" w:space="0"/>
              <w:right w:val="single" w:color="auto" w:sz="4" w:space="0"/>
            </w:tcBorders>
            <w:noWrap/>
            <w:vAlign w:val="center"/>
          </w:tcPr>
          <w:p>
            <w:pPr>
              <w:widowControl/>
              <w:spacing w:line="38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　</w:t>
            </w:r>
          </w:p>
        </w:tc>
        <w:tc>
          <w:tcPr>
            <w:tcW w:w="433" w:type="pct"/>
            <w:tcBorders>
              <w:top w:val="single" w:color="auto" w:sz="4" w:space="0"/>
              <w:left w:val="nil"/>
              <w:bottom w:val="single" w:color="auto" w:sz="4" w:space="0"/>
              <w:right w:val="single" w:color="auto" w:sz="4" w:space="0"/>
            </w:tcBorders>
            <w:noWrap/>
            <w:vAlign w:val="center"/>
          </w:tcPr>
          <w:p>
            <w:pPr>
              <w:widowControl/>
              <w:spacing w:line="38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　</w:t>
            </w:r>
          </w:p>
        </w:tc>
        <w:tc>
          <w:tcPr>
            <w:tcW w:w="1905" w:type="pct"/>
            <w:tcBorders>
              <w:top w:val="single" w:color="auto" w:sz="4" w:space="0"/>
              <w:left w:val="nil"/>
              <w:bottom w:val="single" w:color="auto" w:sz="4" w:space="0"/>
              <w:right w:val="single" w:color="auto" w:sz="4" w:space="0"/>
            </w:tcBorders>
            <w:noWrap/>
            <w:vAlign w:val="center"/>
          </w:tcPr>
          <w:p>
            <w:pPr>
              <w:widowControl/>
              <w:spacing w:line="38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　</w:t>
            </w:r>
          </w:p>
        </w:tc>
        <w:tc>
          <w:tcPr>
            <w:tcW w:w="553" w:type="pct"/>
            <w:tcBorders>
              <w:top w:val="single" w:color="auto" w:sz="4" w:space="0"/>
              <w:left w:val="nil"/>
              <w:bottom w:val="single" w:color="auto" w:sz="4" w:space="0"/>
              <w:right w:val="single" w:color="auto" w:sz="4" w:space="0"/>
            </w:tcBorders>
            <w:noWrap/>
            <w:vAlign w:val="center"/>
          </w:tcPr>
          <w:p>
            <w:pPr>
              <w:widowControl/>
              <w:spacing w:line="38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11.52</w:t>
            </w:r>
          </w:p>
        </w:tc>
      </w:tr>
    </w:tbl>
    <w:p>
      <w:pPr>
        <w:spacing w:line="540" w:lineRule="exact"/>
        <w:jc w:val="center"/>
        <w:rPr>
          <w:rFonts w:hint="eastAsia" w:ascii="Times New Roman" w:hAnsi="Times New Roman" w:eastAsia="黑体" w:cs="仿宋_GB2312"/>
          <w:sz w:val="32"/>
          <w:szCs w:val="32"/>
          <w:lang w:val="zh-TW"/>
        </w:rPr>
      </w:pPr>
      <w:r>
        <w:rPr>
          <w:rFonts w:hint="eastAsia" w:ascii="Times New Roman" w:hAnsi="Times New Roman" w:eastAsia="黑体" w:cs="仿宋_GB2312"/>
          <w:sz w:val="32"/>
          <w:szCs w:val="32"/>
          <w:lang w:val="zh-TW"/>
        </w:rPr>
        <w:t>表3-10    “十四五”规划水土流失综合治理项目统计表</w:t>
      </w:r>
    </w:p>
    <w:tbl>
      <w:tblPr>
        <w:tblStyle w:val="8"/>
        <w:tblW w:w="5242" w:type="pct"/>
        <w:tblInd w:w="-318" w:type="dxa"/>
        <w:tblLayout w:type="fixed"/>
        <w:tblCellMar>
          <w:top w:w="0" w:type="dxa"/>
          <w:left w:w="108" w:type="dxa"/>
          <w:bottom w:w="0" w:type="dxa"/>
          <w:right w:w="108" w:type="dxa"/>
        </w:tblCellMar>
      </w:tblPr>
      <w:tblGrid>
        <w:gridCol w:w="834"/>
        <w:gridCol w:w="1311"/>
        <w:gridCol w:w="507"/>
        <w:gridCol w:w="2145"/>
        <w:gridCol w:w="874"/>
        <w:gridCol w:w="826"/>
        <w:gridCol w:w="1516"/>
        <w:gridCol w:w="1486"/>
      </w:tblGrid>
      <w:tr>
        <w:tblPrEx>
          <w:tblCellMar>
            <w:top w:w="0" w:type="dxa"/>
            <w:left w:w="108" w:type="dxa"/>
            <w:bottom w:w="0" w:type="dxa"/>
            <w:right w:w="108" w:type="dxa"/>
          </w:tblCellMar>
        </w:tblPrEx>
        <w:trPr>
          <w:trHeight w:val="638" w:hRule="atLeast"/>
        </w:trPr>
        <w:tc>
          <w:tcPr>
            <w:tcW w:w="439" w:type="pct"/>
            <w:tcBorders>
              <w:top w:val="single" w:color="000000" w:sz="4" w:space="0"/>
              <w:left w:val="single" w:color="000000" w:sz="4" w:space="0"/>
              <w:bottom w:val="single" w:color="000000" w:sz="4" w:space="0"/>
              <w:right w:val="single" w:color="000000" w:sz="4" w:space="0"/>
            </w:tcBorders>
            <w:vAlign w:val="center"/>
          </w:tcPr>
          <w:p>
            <w:pPr>
              <w:widowControl/>
              <w:spacing w:line="380" w:lineRule="exact"/>
              <w:jc w:val="center"/>
              <w:rPr>
                <w:rFonts w:hint="eastAsia" w:ascii="黑体" w:hAnsi="黑体" w:eastAsia="黑体" w:cs="宋体"/>
                <w:bCs/>
                <w:kern w:val="0"/>
                <w:sz w:val="28"/>
                <w:szCs w:val="28"/>
              </w:rPr>
            </w:pPr>
            <w:r>
              <w:rPr>
                <w:rFonts w:hint="eastAsia" w:ascii="黑体" w:hAnsi="黑体" w:eastAsia="黑体" w:cs="宋体"/>
                <w:bCs/>
                <w:kern w:val="0"/>
                <w:sz w:val="28"/>
                <w:szCs w:val="28"/>
              </w:rPr>
              <w:t>序号</w:t>
            </w:r>
          </w:p>
        </w:tc>
        <w:tc>
          <w:tcPr>
            <w:tcW w:w="690" w:type="pct"/>
            <w:tcBorders>
              <w:top w:val="single" w:color="000000" w:sz="4" w:space="0"/>
              <w:left w:val="single" w:color="000000" w:sz="4" w:space="0"/>
              <w:bottom w:val="single" w:color="000000" w:sz="4" w:space="0"/>
              <w:right w:val="single" w:color="000000" w:sz="4" w:space="0"/>
            </w:tcBorders>
            <w:vAlign w:val="center"/>
          </w:tcPr>
          <w:p>
            <w:pPr>
              <w:widowControl/>
              <w:spacing w:line="380" w:lineRule="exact"/>
              <w:jc w:val="center"/>
              <w:rPr>
                <w:rFonts w:hint="eastAsia" w:ascii="黑体" w:hAnsi="黑体" w:eastAsia="黑体" w:cs="宋体"/>
                <w:bCs/>
                <w:kern w:val="0"/>
                <w:sz w:val="28"/>
                <w:szCs w:val="28"/>
              </w:rPr>
            </w:pPr>
            <w:r>
              <w:rPr>
                <w:rFonts w:hint="eastAsia" w:ascii="黑体" w:hAnsi="黑体" w:eastAsia="黑体" w:cs="宋体"/>
                <w:bCs/>
                <w:kern w:val="0"/>
                <w:sz w:val="28"/>
                <w:szCs w:val="28"/>
              </w:rPr>
              <w:t>项目名称</w:t>
            </w:r>
          </w:p>
        </w:tc>
        <w:tc>
          <w:tcPr>
            <w:tcW w:w="267" w:type="pct"/>
            <w:tcBorders>
              <w:top w:val="single" w:color="000000" w:sz="4" w:space="0"/>
              <w:left w:val="single" w:color="000000" w:sz="4" w:space="0"/>
              <w:bottom w:val="single" w:color="000000" w:sz="4" w:space="0"/>
              <w:right w:val="single" w:color="000000" w:sz="4" w:space="0"/>
            </w:tcBorders>
            <w:vAlign w:val="center"/>
          </w:tcPr>
          <w:p>
            <w:pPr>
              <w:widowControl/>
              <w:spacing w:line="380" w:lineRule="exact"/>
              <w:jc w:val="center"/>
              <w:rPr>
                <w:rFonts w:hint="eastAsia" w:ascii="黑体" w:hAnsi="黑体" w:eastAsia="黑体" w:cs="宋体"/>
                <w:bCs/>
                <w:kern w:val="0"/>
                <w:sz w:val="28"/>
                <w:szCs w:val="28"/>
              </w:rPr>
            </w:pPr>
            <w:r>
              <w:rPr>
                <w:rFonts w:hint="eastAsia" w:ascii="黑体" w:hAnsi="黑体" w:eastAsia="黑体" w:cs="宋体"/>
                <w:bCs/>
                <w:kern w:val="0"/>
                <w:sz w:val="28"/>
                <w:szCs w:val="28"/>
              </w:rPr>
              <w:t>类别</w:t>
            </w:r>
          </w:p>
        </w:tc>
        <w:tc>
          <w:tcPr>
            <w:tcW w:w="1129" w:type="pct"/>
            <w:tcBorders>
              <w:top w:val="single" w:color="000000" w:sz="4" w:space="0"/>
              <w:left w:val="single" w:color="000000" w:sz="4" w:space="0"/>
              <w:bottom w:val="single" w:color="000000" w:sz="4" w:space="0"/>
              <w:right w:val="single" w:color="000000" w:sz="4" w:space="0"/>
            </w:tcBorders>
            <w:vAlign w:val="center"/>
          </w:tcPr>
          <w:p>
            <w:pPr>
              <w:widowControl/>
              <w:spacing w:line="380" w:lineRule="exact"/>
              <w:jc w:val="center"/>
              <w:rPr>
                <w:rFonts w:hint="eastAsia" w:ascii="黑体" w:hAnsi="黑体" w:eastAsia="黑体" w:cs="宋体"/>
                <w:bCs/>
                <w:kern w:val="0"/>
                <w:sz w:val="28"/>
                <w:szCs w:val="28"/>
              </w:rPr>
            </w:pPr>
            <w:r>
              <w:rPr>
                <w:rFonts w:hint="eastAsia" w:ascii="黑体" w:hAnsi="黑体" w:eastAsia="黑体" w:cs="宋体"/>
                <w:bCs/>
                <w:kern w:val="0"/>
                <w:sz w:val="28"/>
                <w:szCs w:val="28"/>
              </w:rPr>
              <w:t>所属</w:t>
            </w:r>
          </w:p>
          <w:p>
            <w:pPr>
              <w:widowControl/>
              <w:spacing w:line="380" w:lineRule="exact"/>
              <w:jc w:val="center"/>
              <w:rPr>
                <w:rFonts w:hint="eastAsia" w:ascii="黑体" w:hAnsi="黑体" w:eastAsia="黑体" w:cs="宋体"/>
                <w:bCs/>
                <w:kern w:val="0"/>
                <w:sz w:val="28"/>
                <w:szCs w:val="28"/>
              </w:rPr>
            </w:pPr>
            <w:r>
              <w:rPr>
                <w:rFonts w:hint="eastAsia" w:ascii="黑体" w:hAnsi="黑体" w:eastAsia="黑体" w:cs="宋体"/>
                <w:bCs/>
                <w:kern w:val="0"/>
                <w:sz w:val="28"/>
                <w:szCs w:val="28"/>
              </w:rPr>
              <w:t>区域</w:t>
            </w:r>
          </w:p>
        </w:tc>
        <w:tc>
          <w:tcPr>
            <w:tcW w:w="460" w:type="pct"/>
            <w:tcBorders>
              <w:top w:val="single" w:color="000000" w:sz="4" w:space="0"/>
              <w:left w:val="single" w:color="000000" w:sz="4" w:space="0"/>
              <w:bottom w:val="single" w:color="000000" w:sz="4" w:space="0"/>
              <w:right w:val="single" w:color="000000" w:sz="4" w:space="0"/>
            </w:tcBorders>
            <w:vAlign w:val="center"/>
          </w:tcPr>
          <w:p>
            <w:pPr>
              <w:widowControl/>
              <w:spacing w:line="380" w:lineRule="exact"/>
              <w:jc w:val="center"/>
              <w:rPr>
                <w:rFonts w:hint="eastAsia" w:ascii="黑体" w:hAnsi="黑体" w:eastAsia="黑体" w:cs="宋体"/>
                <w:bCs/>
                <w:kern w:val="0"/>
                <w:sz w:val="28"/>
                <w:szCs w:val="28"/>
              </w:rPr>
            </w:pPr>
            <w:r>
              <w:rPr>
                <w:rFonts w:hint="eastAsia" w:ascii="黑体" w:hAnsi="黑体" w:eastAsia="黑体" w:cs="宋体"/>
                <w:bCs/>
                <w:kern w:val="0"/>
                <w:sz w:val="28"/>
                <w:szCs w:val="28"/>
              </w:rPr>
              <w:t>项目建设性质</w:t>
            </w:r>
          </w:p>
        </w:tc>
        <w:tc>
          <w:tcPr>
            <w:tcW w:w="435" w:type="pct"/>
            <w:tcBorders>
              <w:top w:val="single" w:color="000000" w:sz="4" w:space="0"/>
              <w:left w:val="single" w:color="000000" w:sz="4" w:space="0"/>
              <w:bottom w:val="single" w:color="000000" w:sz="4" w:space="0"/>
              <w:right w:val="single" w:color="000000" w:sz="4" w:space="0"/>
            </w:tcBorders>
            <w:noWrap/>
            <w:vAlign w:val="center"/>
          </w:tcPr>
          <w:p>
            <w:pPr>
              <w:widowControl/>
              <w:spacing w:line="380" w:lineRule="exact"/>
              <w:jc w:val="center"/>
              <w:rPr>
                <w:rFonts w:hint="eastAsia" w:ascii="黑体" w:hAnsi="黑体" w:eastAsia="黑体" w:cs="宋体"/>
                <w:bCs/>
                <w:kern w:val="0"/>
                <w:sz w:val="28"/>
                <w:szCs w:val="28"/>
              </w:rPr>
            </w:pPr>
            <w:r>
              <w:rPr>
                <w:rFonts w:hint="eastAsia" w:ascii="黑体" w:hAnsi="黑体" w:eastAsia="黑体" w:cs="宋体"/>
                <w:bCs/>
                <w:kern w:val="0"/>
                <w:sz w:val="28"/>
                <w:szCs w:val="28"/>
              </w:rPr>
              <w:t>前期工作</w:t>
            </w:r>
          </w:p>
        </w:tc>
        <w:tc>
          <w:tcPr>
            <w:tcW w:w="798" w:type="pct"/>
            <w:tcBorders>
              <w:top w:val="single" w:color="000000" w:sz="4" w:space="0"/>
              <w:left w:val="single" w:color="000000" w:sz="4" w:space="0"/>
              <w:bottom w:val="single" w:color="000000" w:sz="4" w:space="0"/>
              <w:right w:val="single" w:color="000000" w:sz="4" w:space="0"/>
            </w:tcBorders>
            <w:vAlign w:val="center"/>
          </w:tcPr>
          <w:p>
            <w:pPr>
              <w:widowControl/>
              <w:spacing w:line="380" w:lineRule="exact"/>
              <w:jc w:val="center"/>
              <w:rPr>
                <w:rFonts w:hint="eastAsia" w:ascii="黑体" w:hAnsi="黑体" w:eastAsia="黑体" w:cs="宋体"/>
                <w:bCs/>
                <w:kern w:val="0"/>
                <w:sz w:val="28"/>
                <w:szCs w:val="28"/>
              </w:rPr>
            </w:pPr>
            <w:r>
              <w:rPr>
                <w:rFonts w:hint="eastAsia" w:ascii="黑体" w:hAnsi="黑体" w:eastAsia="黑体" w:cs="宋体"/>
                <w:bCs/>
                <w:kern w:val="0"/>
                <w:sz w:val="28"/>
                <w:szCs w:val="28"/>
              </w:rPr>
              <w:t>工程规模/数量</w:t>
            </w:r>
          </w:p>
        </w:tc>
        <w:tc>
          <w:tcPr>
            <w:tcW w:w="782" w:type="pct"/>
            <w:tcBorders>
              <w:top w:val="single" w:color="000000" w:sz="4" w:space="0"/>
              <w:left w:val="single" w:color="000000" w:sz="4" w:space="0"/>
              <w:bottom w:val="single" w:color="000000" w:sz="4" w:space="0"/>
              <w:right w:val="single" w:color="000000" w:sz="4" w:space="0"/>
            </w:tcBorders>
            <w:vAlign w:val="center"/>
          </w:tcPr>
          <w:p>
            <w:pPr>
              <w:widowControl/>
              <w:spacing w:line="380" w:lineRule="exact"/>
              <w:jc w:val="center"/>
              <w:rPr>
                <w:rFonts w:hint="eastAsia" w:ascii="黑体" w:hAnsi="黑体" w:eastAsia="黑体" w:cs="宋体"/>
                <w:bCs/>
                <w:kern w:val="0"/>
                <w:sz w:val="28"/>
                <w:szCs w:val="28"/>
              </w:rPr>
            </w:pPr>
            <w:r>
              <w:rPr>
                <w:rFonts w:hint="eastAsia" w:ascii="黑体" w:hAnsi="黑体" w:eastAsia="黑体" w:cs="宋体"/>
                <w:bCs/>
                <w:kern w:val="0"/>
                <w:sz w:val="28"/>
                <w:szCs w:val="28"/>
              </w:rPr>
              <w:t>十四五投资（亿元）</w:t>
            </w:r>
          </w:p>
        </w:tc>
      </w:tr>
      <w:tr>
        <w:tblPrEx>
          <w:tblCellMar>
            <w:top w:w="0" w:type="dxa"/>
            <w:left w:w="108" w:type="dxa"/>
            <w:bottom w:w="0" w:type="dxa"/>
            <w:right w:w="108" w:type="dxa"/>
          </w:tblCellMar>
        </w:tblPrEx>
        <w:trPr>
          <w:trHeight w:val="902" w:hRule="atLeast"/>
        </w:trPr>
        <w:tc>
          <w:tcPr>
            <w:tcW w:w="439" w:type="pct"/>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1</w:t>
            </w:r>
          </w:p>
        </w:tc>
        <w:tc>
          <w:tcPr>
            <w:tcW w:w="690" w:type="pct"/>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小流域综合治理工程</w:t>
            </w:r>
          </w:p>
        </w:tc>
        <w:tc>
          <w:tcPr>
            <w:tcW w:w="267" w:type="pct"/>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B</w:t>
            </w:r>
          </w:p>
        </w:tc>
        <w:tc>
          <w:tcPr>
            <w:tcW w:w="1129" w:type="pct"/>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库伦旗、奈曼旗、科左中旗、科左后旗、扎鲁特旗</w:t>
            </w:r>
          </w:p>
        </w:tc>
        <w:tc>
          <w:tcPr>
            <w:tcW w:w="460" w:type="pct"/>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新建</w:t>
            </w:r>
          </w:p>
        </w:tc>
        <w:tc>
          <w:tcPr>
            <w:tcW w:w="435" w:type="pct"/>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规划</w:t>
            </w:r>
          </w:p>
        </w:tc>
        <w:tc>
          <w:tcPr>
            <w:tcW w:w="798" w:type="pct"/>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新增水土流失治理面积</w:t>
            </w:r>
            <w:r>
              <w:rPr>
                <w:rFonts w:ascii="Times New Roman" w:hAnsi="Times New Roman" w:eastAsia="仿宋_GB2312" w:cs="宋体"/>
                <w:bCs/>
                <w:kern w:val="0"/>
                <w:sz w:val="28"/>
                <w:szCs w:val="28"/>
              </w:rPr>
              <w:t>200平方公里</w:t>
            </w:r>
          </w:p>
        </w:tc>
        <w:tc>
          <w:tcPr>
            <w:tcW w:w="782" w:type="pct"/>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1.25</w:t>
            </w:r>
          </w:p>
        </w:tc>
      </w:tr>
      <w:tr>
        <w:tblPrEx>
          <w:tblCellMar>
            <w:top w:w="0" w:type="dxa"/>
            <w:left w:w="108" w:type="dxa"/>
            <w:bottom w:w="0" w:type="dxa"/>
            <w:right w:w="108" w:type="dxa"/>
          </w:tblCellMar>
        </w:tblPrEx>
        <w:trPr>
          <w:trHeight w:val="648" w:hRule="atLeast"/>
        </w:trPr>
        <w:tc>
          <w:tcPr>
            <w:tcW w:w="439" w:type="pct"/>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2</w:t>
            </w:r>
          </w:p>
        </w:tc>
        <w:tc>
          <w:tcPr>
            <w:tcW w:w="690" w:type="pct"/>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东北黑土区侵蚀沟综合治理工程</w:t>
            </w:r>
          </w:p>
        </w:tc>
        <w:tc>
          <w:tcPr>
            <w:tcW w:w="267" w:type="pct"/>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B</w:t>
            </w:r>
          </w:p>
        </w:tc>
        <w:tc>
          <w:tcPr>
            <w:tcW w:w="1129" w:type="pct"/>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扎鲁特旗、霍林郭勒市</w:t>
            </w:r>
          </w:p>
        </w:tc>
        <w:tc>
          <w:tcPr>
            <w:tcW w:w="460" w:type="pct"/>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新建</w:t>
            </w:r>
          </w:p>
        </w:tc>
        <w:tc>
          <w:tcPr>
            <w:tcW w:w="435" w:type="pct"/>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规划</w:t>
            </w:r>
          </w:p>
        </w:tc>
        <w:tc>
          <w:tcPr>
            <w:tcW w:w="798" w:type="pct"/>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治理沟道150</w:t>
            </w:r>
            <w:r>
              <w:rPr>
                <w:rFonts w:ascii="Times New Roman" w:hAnsi="Times New Roman" w:eastAsia="仿宋_GB2312" w:cs="宋体"/>
                <w:bCs/>
                <w:kern w:val="0"/>
                <w:sz w:val="28"/>
                <w:szCs w:val="28"/>
              </w:rPr>
              <w:t>条</w:t>
            </w:r>
          </w:p>
        </w:tc>
        <w:tc>
          <w:tcPr>
            <w:tcW w:w="782" w:type="pct"/>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0.5</w:t>
            </w:r>
          </w:p>
        </w:tc>
      </w:tr>
      <w:tr>
        <w:tblPrEx>
          <w:tblCellMar>
            <w:top w:w="0" w:type="dxa"/>
            <w:left w:w="108" w:type="dxa"/>
            <w:bottom w:w="0" w:type="dxa"/>
            <w:right w:w="108" w:type="dxa"/>
          </w:tblCellMar>
        </w:tblPrEx>
        <w:trPr>
          <w:trHeight w:val="864" w:hRule="atLeast"/>
        </w:trPr>
        <w:tc>
          <w:tcPr>
            <w:tcW w:w="439" w:type="pct"/>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3</w:t>
            </w:r>
          </w:p>
        </w:tc>
        <w:tc>
          <w:tcPr>
            <w:tcW w:w="690" w:type="pct"/>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坡耕地水土流失综合治理工程</w:t>
            </w:r>
          </w:p>
        </w:tc>
        <w:tc>
          <w:tcPr>
            <w:tcW w:w="267" w:type="pct"/>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B</w:t>
            </w:r>
          </w:p>
        </w:tc>
        <w:tc>
          <w:tcPr>
            <w:tcW w:w="1129" w:type="pct"/>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库伦旗、奈曼旗</w:t>
            </w:r>
          </w:p>
        </w:tc>
        <w:tc>
          <w:tcPr>
            <w:tcW w:w="460" w:type="pct"/>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新建</w:t>
            </w:r>
          </w:p>
        </w:tc>
        <w:tc>
          <w:tcPr>
            <w:tcW w:w="435" w:type="pct"/>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规划</w:t>
            </w:r>
          </w:p>
        </w:tc>
        <w:tc>
          <w:tcPr>
            <w:tcW w:w="798" w:type="pct"/>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新增水土流失治理面积</w:t>
            </w:r>
            <w:r>
              <w:rPr>
                <w:rFonts w:ascii="Times New Roman" w:hAnsi="Times New Roman" w:eastAsia="仿宋_GB2312" w:cs="宋体"/>
                <w:bCs/>
                <w:kern w:val="0"/>
                <w:sz w:val="28"/>
                <w:szCs w:val="28"/>
              </w:rPr>
              <w:t>8.888平方公里</w:t>
            </w:r>
          </w:p>
        </w:tc>
        <w:tc>
          <w:tcPr>
            <w:tcW w:w="782" w:type="pct"/>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0.3</w:t>
            </w:r>
          </w:p>
        </w:tc>
      </w:tr>
      <w:tr>
        <w:tblPrEx>
          <w:tblCellMar>
            <w:top w:w="0" w:type="dxa"/>
            <w:left w:w="108" w:type="dxa"/>
            <w:bottom w:w="0" w:type="dxa"/>
            <w:right w:w="108" w:type="dxa"/>
          </w:tblCellMar>
        </w:tblPrEx>
        <w:trPr>
          <w:trHeight w:val="288" w:hRule="atLeast"/>
        </w:trPr>
        <w:tc>
          <w:tcPr>
            <w:tcW w:w="1129" w:type="pct"/>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合计</w:t>
            </w:r>
          </w:p>
        </w:tc>
        <w:tc>
          <w:tcPr>
            <w:tcW w:w="267" w:type="pct"/>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center"/>
              <w:rPr>
                <w:rFonts w:hint="eastAsia" w:ascii="Times New Roman" w:hAnsi="Times New Roman" w:eastAsia="仿宋_GB2312" w:cs="宋体"/>
                <w:bCs/>
                <w:kern w:val="0"/>
                <w:sz w:val="28"/>
                <w:szCs w:val="28"/>
              </w:rPr>
            </w:pPr>
          </w:p>
        </w:tc>
        <w:tc>
          <w:tcPr>
            <w:tcW w:w="1129" w:type="pct"/>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center"/>
              <w:rPr>
                <w:rFonts w:hint="eastAsia" w:ascii="Times New Roman" w:hAnsi="Times New Roman" w:eastAsia="仿宋_GB2312" w:cs="宋体"/>
                <w:bCs/>
                <w:kern w:val="0"/>
                <w:sz w:val="28"/>
                <w:szCs w:val="28"/>
              </w:rPr>
            </w:pPr>
          </w:p>
        </w:tc>
        <w:tc>
          <w:tcPr>
            <w:tcW w:w="460" w:type="pct"/>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center"/>
              <w:rPr>
                <w:rFonts w:hint="eastAsia" w:ascii="Times New Roman" w:hAnsi="Times New Roman" w:eastAsia="仿宋_GB2312" w:cs="宋体"/>
                <w:bCs/>
                <w:kern w:val="0"/>
                <w:sz w:val="28"/>
                <w:szCs w:val="28"/>
              </w:rPr>
            </w:pPr>
          </w:p>
        </w:tc>
        <w:tc>
          <w:tcPr>
            <w:tcW w:w="435" w:type="pct"/>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center"/>
              <w:rPr>
                <w:rFonts w:hint="eastAsia" w:ascii="Times New Roman" w:hAnsi="Times New Roman" w:eastAsia="仿宋_GB2312" w:cs="宋体"/>
                <w:bCs/>
                <w:kern w:val="0"/>
                <w:sz w:val="28"/>
                <w:szCs w:val="28"/>
              </w:rPr>
            </w:pPr>
          </w:p>
        </w:tc>
        <w:tc>
          <w:tcPr>
            <w:tcW w:w="798" w:type="pct"/>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center"/>
              <w:rPr>
                <w:rFonts w:hint="eastAsia" w:ascii="Times New Roman" w:hAnsi="Times New Roman" w:eastAsia="仿宋_GB2312" w:cs="宋体"/>
                <w:bCs/>
                <w:kern w:val="0"/>
                <w:sz w:val="28"/>
                <w:szCs w:val="28"/>
              </w:rPr>
            </w:pPr>
          </w:p>
        </w:tc>
        <w:tc>
          <w:tcPr>
            <w:tcW w:w="782" w:type="pct"/>
            <w:tcBorders>
              <w:top w:val="single" w:color="000000" w:sz="4" w:space="0"/>
              <w:left w:val="single" w:color="000000" w:sz="4" w:space="0"/>
              <w:bottom w:val="single" w:color="000000" w:sz="4" w:space="0"/>
              <w:right w:val="single" w:color="000000" w:sz="4" w:space="0"/>
            </w:tcBorders>
            <w:noWrap/>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2.05</w:t>
            </w:r>
          </w:p>
        </w:tc>
      </w:tr>
    </w:tbl>
    <w:p>
      <w:pPr>
        <w:spacing w:line="560" w:lineRule="exact"/>
        <w:ind w:firstLine="640" w:firstLineChars="200"/>
        <w:rPr>
          <w:rFonts w:hint="eastAsia" w:ascii="Times New Roman" w:hAnsi="Times New Roman" w:eastAsia="楷体_GB2312"/>
          <w:sz w:val="32"/>
          <w:szCs w:val="32"/>
        </w:rPr>
      </w:pPr>
      <w:r>
        <w:rPr>
          <w:rFonts w:hint="eastAsia" w:ascii="Times New Roman" w:hAnsi="Times New Roman" w:eastAsia="楷体_GB2312"/>
          <w:sz w:val="32"/>
          <w:szCs w:val="32"/>
        </w:rPr>
        <w:t>（四）推进信息化及水利科技建设</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推进我市城市智慧水利建设，实现水利工程管理智能化。</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1. 建立农业用水统计系统，对旗级样点灌区安装用水计量设施，建立旗级农业用水平台；</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2. 建立水资源管理信息平台，对取用水户用水量在线监测；建立水资源监控系统平台，维护水资源监控系统平台、用户水资源远程检测系统设备。</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3. 开展山洪灾害预警监测系统升级改造。十四五期间完成南北山区4个旗县市区山洪灾害预警监测系统升级改造，完成科尔沁区和开鲁县农村基层预警预报体系建设。</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4. 开展水库水雨情及水库大坝安全监测项目建设。十四五期间对全市84座水库雨水情监测、79座水库大坝安全监测。</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5. 主要河湖可视化管理。建立我市主要河湖可视化管理。</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6. 完善基本执法装备及河湖管护设施建设。为了保障水政监察队伍基本执法装备，主要包括：交通工具、调查取证设备、现场处理设备、办案设备等。河湖管护设施计划采购必要的巡河巡湖车辆、拍摄设备及遥感遥测设施，通过有效巡查手段，持续改善我市河湖水生态环境。</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7. 水政执法监控工程建设，为了提高水政监察队伍现场执法监管能力，提升监管手段。水政执法监控工程主要包括：执法巡查监控工程、重点区域实时监控工程和卫星遥感遥测监控工程等。</w:t>
      </w:r>
    </w:p>
    <w:p>
      <w:pPr>
        <w:spacing w:line="540" w:lineRule="exact"/>
        <w:jc w:val="center"/>
        <w:rPr>
          <w:rFonts w:hint="eastAsia" w:ascii="Times New Roman" w:hAnsi="Times New Roman" w:eastAsia="黑体" w:cs="仿宋_GB2312"/>
          <w:sz w:val="32"/>
          <w:szCs w:val="32"/>
          <w:lang w:val="zh-TW"/>
        </w:rPr>
      </w:pPr>
      <w:r>
        <w:rPr>
          <w:rFonts w:hint="eastAsia" w:ascii="Times New Roman" w:hAnsi="Times New Roman" w:eastAsia="黑体" w:cs="仿宋_GB2312"/>
          <w:sz w:val="32"/>
          <w:szCs w:val="32"/>
          <w:lang w:val="zh-TW"/>
        </w:rPr>
        <w:t>表</w:t>
      </w:r>
      <w:r>
        <w:rPr>
          <w:rFonts w:hint="eastAsia" w:ascii="Times New Roman" w:hAnsi="Times New Roman" w:eastAsia="黑体" w:cs="仿宋_GB2312"/>
          <w:sz w:val="32"/>
          <w:szCs w:val="32"/>
        </w:rPr>
        <w:t>3</w:t>
      </w:r>
      <w:r>
        <w:rPr>
          <w:rFonts w:hint="eastAsia" w:ascii="Times New Roman" w:hAnsi="Times New Roman" w:eastAsia="黑体" w:cs="仿宋_GB2312"/>
          <w:sz w:val="32"/>
          <w:szCs w:val="32"/>
          <w:lang w:val="zh-TW"/>
        </w:rPr>
        <w:t>-11  “十四五”规划水利信息化建设项目统计表</w:t>
      </w:r>
    </w:p>
    <w:tbl>
      <w:tblPr>
        <w:tblStyle w:val="8"/>
        <w:tblW w:w="5672" w:type="pct"/>
        <w:tblInd w:w="-694" w:type="dxa"/>
        <w:tblLayout w:type="autofit"/>
        <w:tblCellMar>
          <w:top w:w="0" w:type="dxa"/>
          <w:left w:w="0" w:type="dxa"/>
          <w:bottom w:w="0" w:type="dxa"/>
          <w:right w:w="0" w:type="dxa"/>
        </w:tblCellMar>
      </w:tblPr>
      <w:tblGrid>
        <w:gridCol w:w="992"/>
        <w:gridCol w:w="2980"/>
        <w:gridCol w:w="995"/>
        <w:gridCol w:w="3544"/>
        <w:gridCol w:w="1556"/>
      </w:tblGrid>
      <w:tr>
        <w:tblPrEx>
          <w:tblCellMar>
            <w:top w:w="0" w:type="dxa"/>
            <w:left w:w="0" w:type="dxa"/>
            <w:bottom w:w="0" w:type="dxa"/>
            <w:right w:w="0" w:type="dxa"/>
          </w:tblCellMar>
        </w:tblPrEx>
        <w:trPr>
          <w:trHeight w:val="450" w:hRule="atLeast"/>
        </w:trPr>
        <w:tc>
          <w:tcPr>
            <w:tcW w:w="49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rPr>
                <w:rFonts w:hint="eastAsia" w:ascii="黑体" w:hAnsi="黑体" w:eastAsia="黑体" w:cs="宋体"/>
                <w:bCs/>
                <w:kern w:val="0"/>
                <w:sz w:val="28"/>
                <w:szCs w:val="28"/>
              </w:rPr>
            </w:pPr>
            <w:r>
              <w:rPr>
                <w:rFonts w:hint="eastAsia" w:ascii="黑体" w:hAnsi="黑体" w:eastAsia="黑体" w:cs="宋体"/>
                <w:bCs/>
                <w:kern w:val="0"/>
                <w:sz w:val="28"/>
                <w:szCs w:val="28"/>
              </w:rPr>
              <w:t>序号</w:t>
            </w:r>
          </w:p>
        </w:tc>
        <w:tc>
          <w:tcPr>
            <w:tcW w:w="148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rPr>
                <w:rFonts w:hint="eastAsia" w:ascii="黑体" w:hAnsi="黑体" w:eastAsia="黑体" w:cs="宋体"/>
                <w:bCs/>
                <w:kern w:val="0"/>
                <w:sz w:val="28"/>
                <w:szCs w:val="28"/>
              </w:rPr>
            </w:pPr>
            <w:r>
              <w:rPr>
                <w:rFonts w:hint="eastAsia" w:ascii="黑体" w:hAnsi="黑体" w:eastAsia="黑体" w:cs="宋体"/>
                <w:bCs/>
                <w:kern w:val="0"/>
                <w:sz w:val="28"/>
                <w:szCs w:val="28"/>
              </w:rPr>
              <w:t>项目名称</w:t>
            </w:r>
          </w:p>
        </w:tc>
        <w:tc>
          <w:tcPr>
            <w:tcW w:w="49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rPr>
                <w:rFonts w:hint="eastAsia" w:ascii="黑体" w:hAnsi="黑体" w:eastAsia="黑体" w:cs="宋体"/>
                <w:bCs/>
                <w:kern w:val="0"/>
                <w:sz w:val="28"/>
                <w:szCs w:val="28"/>
              </w:rPr>
            </w:pPr>
            <w:r>
              <w:rPr>
                <w:rFonts w:hint="eastAsia" w:ascii="黑体" w:hAnsi="黑体" w:eastAsia="黑体" w:cs="宋体"/>
                <w:bCs/>
                <w:kern w:val="0"/>
                <w:sz w:val="28"/>
                <w:szCs w:val="28"/>
              </w:rPr>
              <w:t>类别</w:t>
            </w:r>
          </w:p>
        </w:tc>
        <w:tc>
          <w:tcPr>
            <w:tcW w:w="176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rPr>
                <w:rFonts w:hint="eastAsia" w:ascii="黑体" w:hAnsi="黑体" w:eastAsia="黑体" w:cs="宋体"/>
                <w:bCs/>
                <w:kern w:val="0"/>
                <w:sz w:val="28"/>
                <w:szCs w:val="28"/>
              </w:rPr>
            </w:pPr>
            <w:r>
              <w:rPr>
                <w:rFonts w:hint="eastAsia" w:ascii="黑体" w:hAnsi="黑体" w:eastAsia="黑体" w:cs="宋体"/>
                <w:bCs/>
                <w:kern w:val="0"/>
                <w:sz w:val="28"/>
                <w:szCs w:val="28"/>
              </w:rPr>
              <w:t>主要建设内容</w:t>
            </w:r>
          </w:p>
        </w:tc>
        <w:tc>
          <w:tcPr>
            <w:tcW w:w="77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rPr>
                <w:rFonts w:hint="eastAsia" w:ascii="黑体" w:hAnsi="黑体" w:eastAsia="黑体" w:cs="宋体"/>
                <w:bCs/>
                <w:kern w:val="0"/>
                <w:sz w:val="28"/>
                <w:szCs w:val="28"/>
              </w:rPr>
            </w:pPr>
            <w:r>
              <w:rPr>
                <w:rFonts w:hint="eastAsia" w:ascii="黑体" w:hAnsi="黑体" w:eastAsia="黑体" w:cs="宋体"/>
                <w:bCs/>
                <w:kern w:val="0"/>
                <w:sz w:val="28"/>
                <w:szCs w:val="28"/>
              </w:rPr>
              <w:t>投资（亿元）</w:t>
            </w:r>
          </w:p>
        </w:tc>
      </w:tr>
      <w:tr>
        <w:tblPrEx>
          <w:tblCellMar>
            <w:top w:w="0" w:type="dxa"/>
            <w:left w:w="0" w:type="dxa"/>
            <w:bottom w:w="0" w:type="dxa"/>
            <w:right w:w="0" w:type="dxa"/>
          </w:tblCellMar>
        </w:tblPrEx>
        <w:trPr>
          <w:trHeight w:val="450" w:hRule="atLeast"/>
        </w:trPr>
        <w:tc>
          <w:tcPr>
            <w:tcW w:w="49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1</w:t>
            </w:r>
          </w:p>
        </w:tc>
        <w:tc>
          <w:tcPr>
            <w:tcW w:w="148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山洪监测预警系统</w:t>
            </w:r>
          </w:p>
        </w:tc>
        <w:tc>
          <w:tcPr>
            <w:tcW w:w="49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D</w:t>
            </w:r>
          </w:p>
        </w:tc>
        <w:tc>
          <w:tcPr>
            <w:tcW w:w="176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逐步完善监测平台</w:t>
            </w:r>
          </w:p>
        </w:tc>
        <w:tc>
          <w:tcPr>
            <w:tcW w:w="77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0.5</w:t>
            </w:r>
          </w:p>
        </w:tc>
      </w:tr>
      <w:tr>
        <w:tblPrEx>
          <w:tblCellMar>
            <w:top w:w="0" w:type="dxa"/>
            <w:left w:w="0" w:type="dxa"/>
            <w:bottom w:w="0" w:type="dxa"/>
            <w:right w:w="0" w:type="dxa"/>
          </w:tblCellMar>
        </w:tblPrEx>
        <w:trPr>
          <w:trHeight w:val="675" w:hRule="atLeast"/>
        </w:trPr>
        <w:tc>
          <w:tcPr>
            <w:tcW w:w="49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2</w:t>
            </w:r>
          </w:p>
        </w:tc>
        <w:tc>
          <w:tcPr>
            <w:tcW w:w="148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农业用水统计系统</w:t>
            </w:r>
          </w:p>
        </w:tc>
        <w:tc>
          <w:tcPr>
            <w:tcW w:w="49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D</w:t>
            </w:r>
          </w:p>
        </w:tc>
        <w:tc>
          <w:tcPr>
            <w:tcW w:w="176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对旗级样点灌区安装用水计量设施，建立旗级农业用水平台</w:t>
            </w:r>
          </w:p>
        </w:tc>
        <w:tc>
          <w:tcPr>
            <w:tcW w:w="77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0.015</w:t>
            </w:r>
          </w:p>
        </w:tc>
      </w:tr>
      <w:tr>
        <w:tblPrEx>
          <w:tblCellMar>
            <w:top w:w="0" w:type="dxa"/>
            <w:left w:w="0" w:type="dxa"/>
            <w:bottom w:w="0" w:type="dxa"/>
            <w:right w:w="0" w:type="dxa"/>
          </w:tblCellMar>
        </w:tblPrEx>
        <w:trPr>
          <w:trHeight w:val="450" w:hRule="atLeast"/>
        </w:trPr>
        <w:tc>
          <w:tcPr>
            <w:tcW w:w="49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3</w:t>
            </w:r>
          </w:p>
        </w:tc>
        <w:tc>
          <w:tcPr>
            <w:tcW w:w="148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水资源管理信息平台（库伦）</w:t>
            </w:r>
          </w:p>
        </w:tc>
        <w:tc>
          <w:tcPr>
            <w:tcW w:w="49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D</w:t>
            </w:r>
          </w:p>
        </w:tc>
        <w:tc>
          <w:tcPr>
            <w:tcW w:w="176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取用水户用水量在线监测</w:t>
            </w:r>
          </w:p>
        </w:tc>
        <w:tc>
          <w:tcPr>
            <w:tcW w:w="77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0.005</w:t>
            </w:r>
          </w:p>
        </w:tc>
      </w:tr>
      <w:tr>
        <w:tblPrEx>
          <w:tblCellMar>
            <w:top w:w="0" w:type="dxa"/>
            <w:left w:w="0" w:type="dxa"/>
            <w:bottom w:w="0" w:type="dxa"/>
            <w:right w:w="0" w:type="dxa"/>
          </w:tblCellMar>
        </w:tblPrEx>
        <w:trPr>
          <w:trHeight w:val="675" w:hRule="atLeast"/>
        </w:trPr>
        <w:tc>
          <w:tcPr>
            <w:tcW w:w="49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4</w:t>
            </w:r>
          </w:p>
        </w:tc>
        <w:tc>
          <w:tcPr>
            <w:tcW w:w="148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通辽开发区水资源监控系统平台项目（开发区）</w:t>
            </w:r>
          </w:p>
        </w:tc>
        <w:tc>
          <w:tcPr>
            <w:tcW w:w="49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D</w:t>
            </w:r>
          </w:p>
        </w:tc>
        <w:tc>
          <w:tcPr>
            <w:tcW w:w="176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维护水资源监控系统平台、用户水资源远程检测系统设备</w:t>
            </w:r>
          </w:p>
        </w:tc>
        <w:tc>
          <w:tcPr>
            <w:tcW w:w="77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0.01</w:t>
            </w:r>
          </w:p>
        </w:tc>
      </w:tr>
      <w:tr>
        <w:tblPrEx>
          <w:tblCellMar>
            <w:top w:w="0" w:type="dxa"/>
            <w:left w:w="0" w:type="dxa"/>
            <w:bottom w:w="0" w:type="dxa"/>
            <w:right w:w="0" w:type="dxa"/>
          </w:tblCellMar>
        </w:tblPrEx>
        <w:trPr>
          <w:trHeight w:val="450" w:hRule="atLeast"/>
        </w:trPr>
        <w:tc>
          <w:tcPr>
            <w:tcW w:w="49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5</w:t>
            </w:r>
          </w:p>
        </w:tc>
        <w:tc>
          <w:tcPr>
            <w:tcW w:w="148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水库水雨情及水库大坝安全监测项目</w:t>
            </w:r>
          </w:p>
        </w:tc>
        <w:tc>
          <w:tcPr>
            <w:tcW w:w="49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D</w:t>
            </w:r>
          </w:p>
        </w:tc>
        <w:tc>
          <w:tcPr>
            <w:tcW w:w="176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对全市84座水库雨水情监测、79座水库大坝安全监测。</w:t>
            </w:r>
          </w:p>
        </w:tc>
        <w:tc>
          <w:tcPr>
            <w:tcW w:w="77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0.3</w:t>
            </w:r>
          </w:p>
        </w:tc>
      </w:tr>
      <w:tr>
        <w:tblPrEx>
          <w:tblCellMar>
            <w:top w:w="0" w:type="dxa"/>
            <w:left w:w="0" w:type="dxa"/>
            <w:bottom w:w="0" w:type="dxa"/>
            <w:right w:w="0" w:type="dxa"/>
          </w:tblCellMar>
        </w:tblPrEx>
        <w:trPr>
          <w:trHeight w:val="450" w:hRule="atLeast"/>
        </w:trPr>
        <w:tc>
          <w:tcPr>
            <w:tcW w:w="49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6</w:t>
            </w:r>
          </w:p>
        </w:tc>
        <w:tc>
          <w:tcPr>
            <w:tcW w:w="148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河湖可视化管理系统</w:t>
            </w:r>
          </w:p>
        </w:tc>
        <w:tc>
          <w:tcPr>
            <w:tcW w:w="49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D</w:t>
            </w:r>
          </w:p>
        </w:tc>
        <w:tc>
          <w:tcPr>
            <w:tcW w:w="176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建立我市主要河湖可视化管理</w:t>
            </w:r>
          </w:p>
        </w:tc>
        <w:tc>
          <w:tcPr>
            <w:tcW w:w="77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0.32</w:t>
            </w:r>
          </w:p>
        </w:tc>
      </w:tr>
      <w:tr>
        <w:tblPrEx>
          <w:tblCellMar>
            <w:top w:w="0" w:type="dxa"/>
            <w:left w:w="0" w:type="dxa"/>
            <w:bottom w:w="0" w:type="dxa"/>
            <w:right w:w="0" w:type="dxa"/>
          </w:tblCellMar>
        </w:tblPrEx>
        <w:trPr>
          <w:trHeight w:val="675" w:hRule="atLeast"/>
        </w:trPr>
        <w:tc>
          <w:tcPr>
            <w:tcW w:w="49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7</w:t>
            </w:r>
          </w:p>
        </w:tc>
        <w:tc>
          <w:tcPr>
            <w:tcW w:w="148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水行政执法监督能力建设</w:t>
            </w:r>
          </w:p>
        </w:tc>
        <w:tc>
          <w:tcPr>
            <w:tcW w:w="49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D</w:t>
            </w:r>
          </w:p>
        </w:tc>
        <w:tc>
          <w:tcPr>
            <w:tcW w:w="176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水行政执法人员培训。部、厅、市三级相关部门的培训。</w:t>
            </w:r>
          </w:p>
        </w:tc>
        <w:tc>
          <w:tcPr>
            <w:tcW w:w="77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0.01</w:t>
            </w:r>
          </w:p>
        </w:tc>
      </w:tr>
      <w:tr>
        <w:tblPrEx>
          <w:tblCellMar>
            <w:top w:w="0" w:type="dxa"/>
            <w:left w:w="0" w:type="dxa"/>
            <w:bottom w:w="0" w:type="dxa"/>
            <w:right w:w="0" w:type="dxa"/>
          </w:tblCellMar>
        </w:tblPrEx>
        <w:trPr>
          <w:trHeight w:val="675" w:hRule="atLeast"/>
        </w:trPr>
        <w:tc>
          <w:tcPr>
            <w:tcW w:w="49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8</w:t>
            </w:r>
          </w:p>
        </w:tc>
        <w:tc>
          <w:tcPr>
            <w:tcW w:w="148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河湖管护设施建设</w:t>
            </w:r>
          </w:p>
        </w:tc>
        <w:tc>
          <w:tcPr>
            <w:tcW w:w="49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D</w:t>
            </w:r>
          </w:p>
        </w:tc>
        <w:tc>
          <w:tcPr>
            <w:tcW w:w="176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采购必要的巡河巡湖车辆、拍摄设备及遥感遥测设施。</w:t>
            </w:r>
          </w:p>
        </w:tc>
        <w:tc>
          <w:tcPr>
            <w:tcW w:w="77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0.1</w:t>
            </w:r>
          </w:p>
        </w:tc>
      </w:tr>
      <w:tr>
        <w:tblPrEx>
          <w:tblCellMar>
            <w:top w:w="0" w:type="dxa"/>
            <w:left w:w="0" w:type="dxa"/>
            <w:bottom w:w="0" w:type="dxa"/>
            <w:right w:w="0" w:type="dxa"/>
          </w:tblCellMar>
        </w:tblPrEx>
        <w:trPr>
          <w:trHeight w:val="675" w:hRule="atLeast"/>
        </w:trPr>
        <w:tc>
          <w:tcPr>
            <w:tcW w:w="49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9</w:t>
            </w:r>
          </w:p>
        </w:tc>
        <w:tc>
          <w:tcPr>
            <w:tcW w:w="148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水法规宣传教育</w:t>
            </w:r>
          </w:p>
        </w:tc>
        <w:tc>
          <w:tcPr>
            <w:tcW w:w="49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D</w:t>
            </w:r>
          </w:p>
        </w:tc>
        <w:tc>
          <w:tcPr>
            <w:tcW w:w="176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发放宣传品、通过媒体宣传、制作宣传横幅、雇佣宣传车等。</w:t>
            </w:r>
          </w:p>
        </w:tc>
        <w:tc>
          <w:tcPr>
            <w:tcW w:w="77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0.01</w:t>
            </w:r>
          </w:p>
        </w:tc>
      </w:tr>
      <w:tr>
        <w:tblPrEx>
          <w:tblCellMar>
            <w:top w:w="0" w:type="dxa"/>
            <w:left w:w="0" w:type="dxa"/>
            <w:bottom w:w="0" w:type="dxa"/>
            <w:right w:w="0" w:type="dxa"/>
          </w:tblCellMar>
        </w:tblPrEx>
        <w:trPr>
          <w:trHeight w:val="1125" w:hRule="atLeast"/>
        </w:trPr>
        <w:tc>
          <w:tcPr>
            <w:tcW w:w="49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10</w:t>
            </w:r>
          </w:p>
        </w:tc>
        <w:tc>
          <w:tcPr>
            <w:tcW w:w="148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执法装备</w:t>
            </w:r>
          </w:p>
        </w:tc>
        <w:tc>
          <w:tcPr>
            <w:tcW w:w="49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D</w:t>
            </w:r>
          </w:p>
        </w:tc>
        <w:tc>
          <w:tcPr>
            <w:tcW w:w="176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执法车辆1辆 2、检察</w:t>
            </w:r>
          </w:p>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人员服装3、无人机 4、执法记录仪   5、办公设备</w:t>
            </w:r>
          </w:p>
        </w:tc>
        <w:tc>
          <w:tcPr>
            <w:tcW w:w="77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0.02</w:t>
            </w:r>
          </w:p>
        </w:tc>
      </w:tr>
      <w:tr>
        <w:tblPrEx>
          <w:tblCellMar>
            <w:top w:w="0" w:type="dxa"/>
            <w:left w:w="0" w:type="dxa"/>
            <w:bottom w:w="0" w:type="dxa"/>
            <w:right w:w="0" w:type="dxa"/>
          </w:tblCellMar>
        </w:tblPrEx>
        <w:trPr>
          <w:trHeight w:val="270" w:hRule="atLeast"/>
        </w:trPr>
        <w:tc>
          <w:tcPr>
            <w:tcW w:w="1973" w:type="pct"/>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合计</w:t>
            </w:r>
          </w:p>
        </w:tc>
        <w:tc>
          <w:tcPr>
            <w:tcW w:w="49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p>
        </w:tc>
        <w:tc>
          <w:tcPr>
            <w:tcW w:w="176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p>
        </w:tc>
        <w:tc>
          <w:tcPr>
            <w:tcW w:w="77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rPr>
                <w:rFonts w:hint="eastAsia" w:ascii="Times New Roman" w:hAnsi="Times New Roman" w:eastAsia="仿宋_GB2312" w:cs="宋体"/>
                <w:bCs/>
                <w:kern w:val="0"/>
                <w:sz w:val="28"/>
                <w:szCs w:val="28"/>
              </w:rPr>
            </w:pPr>
            <w:r>
              <w:rPr>
                <w:rFonts w:hint="eastAsia" w:ascii="Times New Roman" w:hAnsi="Times New Roman" w:eastAsia="仿宋_GB2312" w:cs="宋体"/>
                <w:bCs/>
                <w:kern w:val="0"/>
                <w:sz w:val="28"/>
                <w:szCs w:val="28"/>
              </w:rPr>
              <w:t>1.54</w:t>
            </w:r>
          </w:p>
        </w:tc>
      </w:tr>
    </w:tbl>
    <w:p>
      <w:pPr>
        <w:spacing w:line="560" w:lineRule="exact"/>
        <w:ind w:firstLine="640" w:firstLineChars="200"/>
        <w:rPr>
          <w:rFonts w:hint="eastAsia" w:ascii="Times New Roman" w:hAnsi="Times New Roman" w:eastAsia="黑体"/>
          <w:sz w:val="32"/>
          <w:szCs w:val="32"/>
        </w:rPr>
      </w:pPr>
    </w:p>
    <w:p>
      <w:pPr>
        <w:spacing w:line="560" w:lineRule="exact"/>
        <w:ind w:firstLine="640" w:firstLineChars="200"/>
        <w:rPr>
          <w:rFonts w:hint="eastAsia" w:ascii="Times New Roman" w:hAnsi="Times New Roman" w:eastAsia="黑体"/>
          <w:sz w:val="32"/>
          <w:szCs w:val="32"/>
        </w:rPr>
      </w:pPr>
      <w:r>
        <w:rPr>
          <w:rFonts w:hint="eastAsia" w:ascii="Times New Roman" w:hAnsi="Times New Roman" w:eastAsia="黑体"/>
          <w:sz w:val="32"/>
          <w:szCs w:val="32"/>
        </w:rPr>
        <w:t>四、强化涉水事务监管</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习近平总书记提出的“十六字”治水思路和水利部水利改革发展总基调是破解通辽新老水问题的根本举措，对推动我市水利改革发展具有重要意义，全市各级水利部门必须要坚决贯彻落实好，紧扣强监管作为总基调之主调的要求，将涉水事务监管纳入法治轨道，积极推进水务系统法治政府建设工作，加强涉水事务监管工作立法和规范性文件制定、强化依法决策意识、严格落实重大行政决策程序、深化行政执法体制改革、加大重点领域执法力度、完善行政执法程序、提高信息化管理能力、创新水利监管和水法律法规宣传形式、增强广大群众在水利监管中的参与度。通过推进法治政府建设工作，加强水利监管的协调统筹力度，完善制度机制体制，健全监督体系，落实监督队伍，充分发挥强监管的综合效能，保障我市治水兴水事业高质量发展。</w:t>
      </w:r>
    </w:p>
    <w:p>
      <w:pPr>
        <w:spacing w:line="560" w:lineRule="exact"/>
        <w:ind w:firstLine="640" w:firstLineChars="200"/>
        <w:rPr>
          <w:rFonts w:hint="eastAsia" w:ascii="Times New Roman" w:hAnsi="Times New Roman" w:eastAsia="楷体_GB2312"/>
          <w:sz w:val="32"/>
          <w:szCs w:val="32"/>
        </w:rPr>
      </w:pPr>
      <w:r>
        <w:rPr>
          <w:rFonts w:hint="eastAsia" w:ascii="Times New Roman" w:hAnsi="Times New Roman" w:eastAsia="楷体_GB2312"/>
          <w:sz w:val="32"/>
          <w:szCs w:val="32"/>
        </w:rPr>
        <w:t>（一）健全监管体制机制</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 xml:space="preserve">积极推动“制度治水、制度管水”，使我市水利行业监督制度化、规范化。推进专项督查工作，对水资源部管理、水利工程建设、水土保持、河湖管理等进行专项检查。落实督查计划，加强备案管理，对执法检查发现问题，采取通报、警示约谈、挂牌督办等措施依法进行处理，将相关信息纳入内蒙古自治区水利工程建设项目信用信息和市场信用信息平台及内蒙古自治区水利建设市场主体“红黑名单”，继续进行“双随机、一公开”对市场的监管，推进发现问题整改落实，提升水利监督检查执行力。 </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 xml:space="preserve">严格执行法规制度，加强守护河湖、保护水资源、维护工程等社会管理。市水务局根据水利部、各管理流域机构、水利厅的要求进行明察暗访，进行行业监督，通过加强行业监督促进强化社会管理，增强监管监督和管理遵循常态化。 </w:t>
      </w:r>
    </w:p>
    <w:p>
      <w:pPr>
        <w:spacing w:line="560" w:lineRule="exact"/>
        <w:ind w:firstLine="640" w:firstLineChars="200"/>
        <w:rPr>
          <w:rFonts w:hint="eastAsia" w:ascii="Times New Roman" w:hAnsi="Times New Roman" w:eastAsia="楷体_GB2312"/>
          <w:sz w:val="32"/>
          <w:szCs w:val="32"/>
        </w:rPr>
      </w:pPr>
      <w:r>
        <w:rPr>
          <w:rFonts w:hint="eastAsia" w:ascii="Times New Roman" w:hAnsi="Times New Roman" w:eastAsia="楷体_GB2312"/>
          <w:sz w:val="32"/>
          <w:szCs w:val="32"/>
        </w:rPr>
        <w:t>（二）落实最严格水资源管理制度</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紧紧围绕“三条红线”刚性约束，以强化水资源消耗总量和强度控制促进经济发展方式和用水方式转变，助推全市生态优先绿色高质量发展。</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1. 强化水资源管理监督检查</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（1）落实和强化用水总量控制</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全市根据区域内人口、耕地、牲畜以及其他产业发展状况，将用水量各项控制指标分解到各旗县市区。根据水量分配方案、年度来水情况、年度用水需求和生态保护目标要求，制定并实行年度水量调度计划。各旗县市区将用水指标分解到各行业，各旗县市区将农业灌溉用水指标分解到行政村、井、地块。</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（2）确权到户，配水到井</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各旗县市区根据用水总量控制指标，核定单位工业产品、人口、灌溉面积的用水定额和基本水价，配水到地，配水到井。一是建立用水配额制度。根据各旗县市区用水总量指标，定额管理要求，根据土地使用类型与权属，按照公平合理高效的原则，将水量确权到地块、到用户，落实到井，探索建立农业用水户用水配额制度，对于河道与水库库区内的耕地，“黑地”等非法用地不予配水。用水户可根据配额自行调整种植作物与灌溉面积或退耕休耕。二是推进农业综合水价改革。配额内用水执行基本水价，超配额用水加价收费，完善奖惩机制。</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（3）加强水利工程调度管理</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根据年度水量调度计划和调度指令，组织实施所辖范围内的水量调度，合理安排取水及工程的调度运行。水量调度应服从防洪调度，区域水量调度应服从流域水量调度，供水、灌溉等工程运行调度应服从水量统一调度。</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（4）加强取水口监管</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对取水口全面进行核查，建立取水口监管名录，严格核查取水许可，建立“一口一帐”。所有取水口均纳入监管范围，取水口台账包括初始台账和动态台账，初始台账主要包括取水许可情况、取水计量监测情况和取水计划量等，动态台账包括各时期实际取水量等动态信息。台账实行电子化管理，规模以上用水全部接入国家水资源监控系统。各级水行政主管部门要切实落实取水口管理责任，严厉打击非法取水，健全计量监控，严格核查取水许可发放与更新，监管实际取水量，实行动态调整管理。旁侧水库要纳入取水口监督管理。</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（5）加强机井管理</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一是将农业灌溉机电井管控纳入到盟（市）、旗（县）两级河湖长制，落实两级政府主体责任。二是制定《通辽市机电井管理办法》。建立机井登记制度，实现“五个一”管理（每一眼井有一个管理责任人、一个机井编号、一张档案卡、一套统计数据），到2022年完成对全部农业灌溉机电井的登记。三是强化取水许可管理。为杜绝不同部门无序打井乱象，将对具备条件的农业灌溉机电井颁发取水许可证。四是严格地下水禁限采区管理。对禁采区内已有地下水取水工程予以限期封闭或者停止使用。在限采区内，禁止新增取用地下水，并逐步削减地下水取水量。</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（6）完善监测计量体系</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城市和工业用水严格按照国家技术标准安装计量设施。农村地区暂不具备安装直接用水计量的，推广“以电折水”等方法，实现用水计量。</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（7）完善水资源管理队伍建设</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建立旗县、苏木乡镇、嘎查村、机电井管理人员四级地下水保护与管理责任体系，明确工作责任。嘎查村应当根据需要配备专职或者兼职机电井管理人员，划定地下水管护责任区，对所辖农业机电井实行网格化管理。</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2. 提高水资源承载能力</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加快引绰济辽工程建设和LXB供水工程前期工作，提高水资源承载能力，缓解水资源短缺，置换部分地下水超采，满足部分新增用水需求，另外，利用达效前的富余水量实施生态补水。</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引绰济辽工程预计2023年6月骨干工程建成，到2025年配套工程建成后，通辽市年调水量2.87亿立方米，其中0.95亿立方米用于置换地下水开采，1.92亿立方米用于城市建设和工业发展；2030年前，可利用兴安盟达效前的富余水量指标和骨干工程设计输水能力（3.62亿立方米），依托莫力庙水库调蓄，对西辽河干流实施生态补水，年均补水量2.59亿立方米。</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LXB供水工程预计2030年通水，供水量1.08亿立方米，主要用以满足新增用水需求。</w:t>
      </w:r>
    </w:p>
    <w:p>
      <w:pPr>
        <w:spacing w:line="560" w:lineRule="exact"/>
        <w:ind w:firstLine="640" w:firstLineChars="200"/>
        <w:rPr>
          <w:rFonts w:hint="eastAsia" w:ascii="Times New Roman" w:hAnsi="Times New Roman" w:eastAsia="楷体_GB2312"/>
          <w:sz w:val="32"/>
          <w:szCs w:val="32"/>
        </w:rPr>
      </w:pPr>
      <w:r>
        <w:rPr>
          <w:rFonts w:hint="eastAsia" w:ascii="Times New Roman" w:hAnsi="Times New Roman" w:eastAsia="楷体_GB2312"/>
          <w:sz w:val="32"/>
          <w:szCs w:val="32"/>
        </w:rPr>
        <w:t>（三）全面推进河湖长制</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河湖长制是统筹山水林田湖草沙系统治理，实现水生态系统保护的重要抓手，“十四五”期间，我市将继续全面大力推行河湖长制，统筹山水林田湖草沙系统治理，持续改善我市河湖水生态环境面貌，建设生态和谐、环境友好、人民满意的幸福河湖，让幸福河湖成为人民最普惠的民生福祉。</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继续深化河湖长制，严格遵守《中华人民共和国水法》《中华人民共和国防洪法》《中华人民共和国河道管理条例》及《内蒙古自治区水工程管理和保护范围划定标准》等法律法规，让河湖执法有法可依、有章可循。加强水利执法监管，形成保护合力，严格河湖水域岸线管理。通过健全采砂管理体系，形成长效机制。推进河湖“清四乱”常态化规范化。将“清四乱”作为河长制湖长制的重要任务和河湖管理的日常工作。同时加强宣传引导，增强社会与公众保护河湖的意识。</w:t>
      </w:r>
    </w:p>
    <w:p>
      <w:pPr>
        <w:spacing w:line="560" w:lineRule="exact"/>
        <w:ind w:firstLine="640" w:firstLineChars="200"/>
        <w:rPr>
          <w:rFonts w:hint="eastAsia" w:ascii="Times New Roman" w:hAnsi="Times New Roman" w:eastAsia="楷体_GB2312"/>
          <w:sz w:val="32"/>
          <w:szCs w:val="32"/>
        </w:rPr>
      </w:pPr>
      <w:r>
        <w:rPr>
          <w:rFonts w:hint="eastAsia" w:ascii="Times New Roman" w:hAnsi="Times New Roman" w:eastAsia="楷体_GB2312"/>
          <w:sz w:val="32"/>
          <w:szCs w:val="32"/>
        </w:rPr>
        <w:t>（四）促进水保监管落地生效</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按照水利部“把工作重心切实转变到监管上来，在监管上强手段，在治理上补短板”的水土保持工作总要求，严格执行水利厅水土保持目标责任考核，提升水土保持监管能力和水平。</w:t>
      </w:r>
    </w:p>
    <w:p>
      <w:pPr>
        <w:spacing w:line="560" w:lineRule="exact"/>
        <w:ind w:firstLine="640" w:firstLineChars="200"/>
        <w:rPr>
          <w:rFonts w:hint="eastAsia" w:ascii="Times New Roman" w:hAnsi="Times New Roman" w:eastAsia="楷体_GB2312"/>
          <w:sz w:val="32"/>
          <w:szCs w:val="32"/>
        </w:rPr>
      </w:pPr>
      <w:r>
        <w:rPr>
          <w:rFonts w:hint="eastAsia" w:ascii="Times New Roman" w:hAnsi="Times New Roman" w:eastAsia="楷体_GB2312"/>
          <w:sz w:val="32"/>
          <w:szCs w:val="32"/>
        </w:rPr>
        <w:t>（五）扎实工程运行管理</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按照先进、精细、实用的要求，以水利工程安全、规范、可靠运行为目标，推进水利工程标准化管理。为保障度汛安全，确保强监管取得成效，积极以防汛“三个责任人”“三个重点环节”，强化水利工程安全运行专项检查为抓手，同时推进信息化建设，进而提升水利工程管理能力。</w:t>
      </w:r>
    </w:p>
    <w:p>
      <w:pPr>
        <w:spacing w:line="560" w:lineRule="exact"/>
        <w:ind w:firstLine="640" w:firstLineChars="200"/>
        <w:rPr>
          <w:rFonts w:hint="eastAsia" w:ascii="Times New Roman" w:hAnsi="Times New Roman" w:eastAsia="楷体_GB2312"/>
          <w:sz w:val="32"/>
          <w:szCs w:val="32"/>
        </w:rPr>
      </w:pPr>
      <w:r>
        <w:rPr>
          <w:rFonts w:hint="eastAsia" w:ascii="Times New Roman" w:hAnsi="Times New Roman" w:eastAsia="楷体_GB2312"/>
          <w:sz w:val="32"/>
          <w:szCs w:val="32"/>
        </w:rPr>
        <w:t>（六）推进依法管水治水</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完善执法体制与法律法规，加快信诚权威高效的涉水行政执法体制，严格落实水行政执法“三项制度”，推行水行政执法公示制度、执法全过程记录制度、重大执法决定法制审核制度，确保依法履行法定职责，切实维护人民群众合法权益，提高依法行政水平。全面依法开展各涉水行政综合执法工作，组织开展供水、节水等多领域专项执法行动，严厉打击水事违法行为、涉河“四乱”等问题，维护正常水事秩序。</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市水务局成立水务综合行政执法支队，集中力量开展涉水职责范围内的行政检查、案件查处，全面统筹全市水务执法工作，落实执法人员持证上岗和资格管理制度，构建智能化水行政执法 体系，避免程序违法，提高执法效率与规范化水平。</w:t>
      </w:r>
    </w:p>
    <w:p>
      <w:pPr>
        <w:spacing w:line="560" w:lineRule="exact"/>
        <w:ind w:firstLine="640" w:firstLineChars="200"/>
        <w:rPr>
          <w:rFonts w:hint="eastAsia" w:ascii="Times New Roman" w:hAnsi="Times New Roman" w:eastAsia="楷体_GB2312"/>
          <w:sz w:val="32"/>
          <w:szCs w:val="32"/>
        </w:rPr>
      </w:pPr>
      <w:r>
        <w:rPr>
          <w:rFonts w:hint="eastAsia" w:ascii="Times New Roman" w:hAnsi="Times New Roman" w:eastAsia="楷体_GB2312"/>
          <w:sz w:val="32"/>
          <w:szCs w:val="32"/>
        </w:rPr>
        <w:t>（七） 推动内蒙古西辽河流域“量水而行”工作</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西辽河流域地下水位下降、河道断流、植被退化等水生态问题受到中央领导和社会各界高度关注。通过对西辽河流域水资源和水生态方面存在的问题及成因进行系统分析梳理，提出了“管”“节”“控”“调”“保”相结合的综合治理措施。</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 xml:space="preserve">西辽河流域综合治理措施中的“管”，即是通过建立健全监管体制、强化水资源监管等的手段，提高用水效率、严控用水总量、提高区域水资源承载能力，这也是我区在“十四五”期间，强化涉水事务监管的具体落实。 </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1. 落实和强化用水总量控制</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当前通辽市水资源开发利用已超过水资源承载能力，但用水总量仍未突破指标，甚至还有较大空间。通辽市现行的用水总量控制红线指标是内蒙古自治区基于1956—2000年系列水资源状况确定的，2000年以来通辽市水资源条件发生了明显改变（水资源总量减少19%），现行的用水总量控制指标明显与水资源现状条件不相适应，造成了用水虽未突破指标，但实际已过度开发、超过了水资源承载能力的问题。应将用水总量控制指标分解落实到地表水、地下水，明确农业、工业行业的用量管控指标，利于精细化管理。</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2. 加强取水口监管，强化机井管理</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对机井进行全面普查，对所有机井建立档案，推进实施农业取水许可管理目标。重点摸清未经审批私打乱打、违规审批、超越权限审批、擅自调整取水用途等违法违规机井规模。</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3. 完善监测计量体系</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在生活、工业用水计量全覆盖的基础上，尽快实现规模以上农业灌溉计量设施全覆盖。近期不具备条件的，可采用“以电折水”的间接计量方式。对农业机井建设进行统一管理，尽快实现农业灌溉取水许可全覆盖。将农业取水许可证录入取水许可台账信息系统，纳入日常监管。各旗县结合自身经济特点，分区实施计量基础设施建设。</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4. 加强水资源管理队伍建设</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进一步建立健全水资源管理机构，增加人员编制，落实经费保障。在乡镇和村设立水利工作站和村级水管员，建立覆盖市、县、乡镇、村四级的水资源管理工作体系，不断提高水资源管理能力。加强基层管理人员业务培训，逐步提高水资源管理机构人员业务水平。通过各种措施，确保基层水资源管理的机构、人员、经费与实行“量水而行”的水资源管理工作新形势相适应。</w:t>
      </w:r>
    </w:p>
    <w:p>
      <w:pPr>
        <w:spacing w:line="560" w:lineRule="exact"/>
        <w:ind w:firstLine="640" w:firstLineChars="200"/>
        <w:rPr>
          <w:rFonts w:hint="eastAsia" w:ascii="Times New Roman" w:hAnsi="Times New Roman" w:eastAsia="黑体"/>
          <w:sz w:val="32"/>
          <w:szCs w:val="32"/>
        </w:rPr>
      </w:pPr>
      <w:r>
        <w:rPr>
          <w:rFonts w:hint="eastAsia" w:ascii="Times New Roman" w:hAnsi="Times New Roman" w:eastAsia="黑体"/>
          <w:sz w:val="32"/>
          <w:szCs w:val="32"/>
        </w:rPr>
        <w:t>五、依靠改革增添活力</w:t>
      </w:r>
    </w:p>
    <w:p>
      <w:pPr>
        <w:spacing w:line="560" w:lineRule="exact"/>
        <w:ind w:firstLine="640" w:firstLineChars="200"/>
        <w:rPr>
          <w:rFonts w:hint="eastAsia" w:ascii="Times New Roman" w:hAnsi="Times New Roman" w:eastAsia="楷体_GB2312"/>
          <w:sz w:val="32"/>
          <w:szCs w:val="32"/>
        </w:rPr>
      </w:pPr>
      <w:r>
        <w:rPr>
          <w:rFonts w:hint="eastAsia" w:ascii="Times New Roman" w:hAnsi="Times New Roman" w:eastAsia="楷体_GB2312"/>
          <w:sz w:val="32"/>
          <w:szCs w:val="32"/>
        </w:rPr>
        <w:t>（一）深化“放管服”改革</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全面深化水利简政放权、放管结合、优化服务改革，落实权责清单，融合水利系统权力清单、公共服务事项清单、责任清单，以统一清单形式列明权责事项，深入推进“双随机一公开”监督检查，实现抽查一部分、警示一大片、规范全行业的目标。</w:t>
      </w:r>
    </w:p>
    <w:p>
      <w:pPr>
        <w:spacing w:line="560" w:lineRule="exact"/>
        <w:ind w:firstLine="640" w:firstLineChars="200"/>
        <w:rPr>
          <w:rFonts w:hint="eastAsia" w:ascii="Times New Roman" w:hAnsi="Times New Roman" w:eastAsia="楷体_GB2312"/>
          <w:sz w:val="32"/>
          <w:szCs w:val="32"/>
        </w:rPr>
      </w:pPr>
      <w:r>
        <w:rPr>
          <w:rFonts w:hint="eastAsia" w:ascii="Times New Roman" w:hAnsi="Times New Roman" w:eastAsia="楷体_GB2312"/>
          <w:sz w:val="32"/>
          <w:szCs w:val="32"/>
        </w:rPr>
        <w:t>（二）推进水利标准化改革</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深入贯彻落实“加强标准、计量、专利等体系和能力建设，深入开展质量提升行动”思想，以高标准推动水利高质量发展，发挥水资源刚性约束作用，提升洪涝干旱等自然灾害防御工程标准。“十四五”期间，本市将重点围绕江河湖泊、水资源、水土保持、工程运行管理等方面进一步完善标准体系，不断强化标准实施与监督，全面提升标准化水平，为水利改革发展提供更加坚实的技术支撑和保障。</w:t>
      </w:r>
    </w:p>
    <w:p>
      <w:pPr>
        <w:spacing w:line="560" w:lineRule="exact"/>
        <w:ind w:firstLine="640" w:firstLineChars="200"/>
        <w:rPr>
          <w:rFonts w:hint="eastAsia" w:ascii="Times New Roman" w:hAnsi="Times New Roman" w:eastAsia="楷体_GB2312"/>
          <w:sz w:val="32"/>
          <w:szCs w:val="32"/>
        </w:rPr>
      </w:pPr>
      <w:r>
        <w:rPr>
          <w:rFonts w:hint="eastAsia" w:ascii="Times New Roman" w:hAnsi="Times New Roman" w:eastAsia="楷体_GB2312"/>
          <w:sz w:val="32"/>
          <w:szCs w:val="32"/>
        </w:rPr>
        <w:t>（三）落实价税改革政策</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2016年，通辽市按照《自治区农业水价综合改革实施方案》及《自治区农业水价综合改革2017年度实施计划》的安排部署，由市政府常务会通过并印发了《通辽市人民政府办公厅关于印发</w:t>
      </w:r>
      <w:r>
        <w:rPr>
          <w:rFonts w:hint="eastAsia" w:ascii="仿宋_GB2312" w:hAnsi="Times New Roman" w:eastAsia="仿宋_GB2312"/>
          <w:sz w:val="32"/>
          <w:szCs w:val="32"/>
        </w:rPr>
        <w:t>〈</w:t>
      </w:r>
      <w:r>
        <w:rPr>
          <w:rFonts w:hint="eastAsia" w:ascii="Times New Roman" w:hAnsi="Times New Roman" w:eastAsia="仿宋_GB2312"/>
          <w:sz w:val="32"/>
          <w:szCs w:val="32"/>
        </w:rPr>
        <w:t>通辽市农业水价综合改革实施方案</w:t>
      </w:r>
      <w:r>
        <w:rPr>
          <w:rFonts w:hint="eastAsia" w:ascii="仿宋_GB2312" w:hAnsi="Times New Roman" w:eastAsia="仿宋_GB2312"/>
          <w:sz w:val="32"/>
          <w:szCs w:val="32"/>
        </w:rPr>
        <w:t>〉</w:t>
      </w:r>
      <w:r>
        <w:rPr>
          <w:rFonts w:hint="eastAsia" w:ascii="Times New Roman" w:hAnsi="Times New Roman" w:eastAsia="仿宋_GB2312"/>
          <w:sz w:val="32"/>
          <w:szCs w:val="32"/>
        </w:rPr>
        <w:t>的通知》（通政办字〔2017〕200号），明确了建设目标、任务、实施步骤及保障措施，并确定开鲁县、科左中旗作为农业水价综合改革试点旗县，编制完成了《开鲁县、科左中旗农业水价改革计量设施建设实施方案》，该方案涉及试点旗县19万亩农田灌溉井计量设施安装任务，工程总投资3100万元。2018年12月12日，通辽市人民政府发布了《通辽市农业水价综合改革指导意见（试行）》和《通辽市农田水利工程长效运行管护机制指导意见（试行）》，确定了农业水价综合改革实施目标，到2025年全面完成农业水价综合改革任务。</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持续完善供水计量设施，目前市水务局正在稳步开展“以电折水”计量系数率定工作，通过以电折水的形式间接计量农业用水量，积极探索采用“按电计量、以电折水”的方法，确定“以电折水系数”，为下一步农业水价综合改革工作提供技术参考。</w:t>
      </w:r>
    </w:p>
    <w:p>
      <w:pPr>
        <w:spacing w:line="560" w:lineRule="exact"/>
        <w:ind w:firstLine="640" w:firstLineChars="200"/>
        <w:rPr>
          <w:rFonts w:hint="eastAsia" w:ascii="Times New Roman" w:hAnsi="Times New Roman" w:eastAsia="楷体_GB2312"/>
          <w:sz w:val="32"/>
          <w:szCs w:val="32"/>
        </w:rPr>
      </w:pPr>
      <w:r>
        <w:rPr>
          <w:rFonts w:hint="eastAsia" w:ascii="Times New Roman" w:hAnsi="Times New Roman" w:eastAsia="楷体_GB2312"/>
          <w:sz w:val="32"/>
          <w:szCs w:val="32"/>
        </w:rPr>
        <w:t>（四）推进管护治理改革</w:t>
      </w:r>
    </w:p>
    <w:p>
      <w:pPr>
        <w:spacing w:line="58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按照“产权有归属，管理有载体，运行有机制，工程有效益”的要求，明晰小型水利工程的所有权、使用权及管护责任，全面深化小型农田水利工程管理体制改革，积极推进建立“两证一书”制度，对旗县范围内新建的小型农田水利工程发放所有权证、使用权证，签订小型水利工程管护责任书，并做好信息统计和档案管理。建立监督考核激励制度，制定改革工作考核办法，通过合理的方式对改革成效显著的乡镇给予鼓励，对改革工作制度滞后的单位进行通报批评。</w:t>
      </w:r>
    </w:p>
    <w:p>
      <w:pPr>
        <w:spacing w:line="580" w:lineRule="exact"/>
        <w:ind w:firstLine="640" w:firstLineChars="200"/>
        <w:rPr>
          <w:rFonts w:hint="eastAsia" w:ascii="Times New Roman" w:hAnsi="Times New Roman" w:eastAsia="楷体_GB2312"/>
          <w:sz w:val="32"/>
          <w:szCs w:val="32"/>
        </w:rPr>
      </w:pPr>
      <w:r>
        <w:rPr>
          <w:rFonts w:hint="eastAsia" w:ascii="Times New Roman" w:hAnsi="Times New Roman" w:eastAsia="楷体_GB2312"/>
          <w:sz w:val="32"/>
          <w:szCs w:val="32"/>
        </w:rPr>
        <w:t>（五）深化投资融资改革</w:t>
      </w:r>
    </w:p>
    <w:p>
      <w:pPr>
        <w:spacing w:line="58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 xml:space="preserve">通过进一步创新水利投融资机制，增强政府投资引导作用、提高民间投资活力、拓宽融资渠道等方式，加快完善水安全保障体系，促进政府与市场有机结合、两手发力，推动全市“十四五”期间水利投资再创新高。水利收入的主要渠道是公共财政，“十四五”期间，积极争取中央预算内水利投资，对于已申报的重大项目逐项与水利厅、水利部进行衔接，确保中央投资不低于现有比例；明确本级与地方财政事权划分和出资比例，逐步完善地方分级或分项目负责的共同投入机制，提高政府投入积极性；优先保证续建项目和新建重大项目投资，投资向积极性高，配套资金来源稳定，地方债务风险较低的项目倾斜。 </w:t>
      </w:r>
    </w:p>
    <w:p>
      <w:pPr>
        <w:spacing w:line="58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 xml:space="preserve">充分利用水利金融政策来利用金融资金。一是按照中共中央办公厅、国务院办公厅印发的《关于做好地方政府专项债券发行及项目配套融资工作的通知》要求，积极争取对大中型水利工程建设地方债券额度，发挥专项债券带动作用和金融机构市场化融资优势。将水利枢纽工程、水库工程、供水工程及引调水工程等具有一定收益来源的公益性水利项目列入地方政府水利专项债券的优先支持范围，择优筛选融资项目主体，统筹安排偿债准备金，保证按时偿还到期水利债券；二是加强国家开发银行、农业发展银行等金融机构的沟通，进一步拓宽金融自己渠道；三是在风险可控的前提下，积极利用商业贷款，适当通过发行企业债券、中期票据、短期融资券等方式满足水利建设不同期限的资金需求，积极培育水利资产证券化市场，进一步探索节水、生态等领域的资产证券化产品，通过保障社会资本合法权益、政府投资引导带动、财政补贴等政策支持，鼓励符合条件的水利企业上市融资。同时，鼓励资本以各种方式参与，激发社会资本参与水利建设管理的热情。 </w:t>
      </w:r>
    </w:p>
    <w:p>
      <w:pPr>
        <w:spacing w:line="580" w:lineRule="exact"/>
        <w:ind w:firstLine="640" w:firstLineChars="200"/>
        <w:rPr>
          <w:rFonts w:hint="eastAsia" w:ascii="Times New Roman" w:hAnsi="Times New Roman" w:eastAsia="楷体_GB2312"/>
          <w:sz w:val="32"/>
          <w:szCs w:val="32"/>
        </w:rPr>
      </w:pPr>
      <w:r>
        <w:rPr>
          <w:rFonts w:hint="eastAsia" w:ascii="Times New Roman" w:hAnsi="Times New Roman" w:eastAsia="楷体_GB2312"/>
          <w:sz w:val="32"/>
          <w:szCs w:val="32"/>
        </w:rPr>
        <w:t>（六）提升创新引领能力</w:t>
      </w:r>
    </w:p>
    <w:p>
      <w:pPr>
        <w:spacing w:line="58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十四五”时期，以“以水定需，量水而行”为主线，发挥科技支撑的引领作用，坚持把科技为民作为根本宗旨，科技创新作为动力，人才驱动作为本质要求，进一步适应社会发展的需求和国家机构改革对水利科技发展的新要求。</w:t>
      </w:r>
    </w:p>
    <w:p>
      <w:pPr>
        <w:spacing w:line="58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 xml:space="preserve">进一步完善水利科技创新机制，着力解决制约科技创新的体制机制问题，转变管理职能，利用专业力量，不断强化水利行业BIM、GIS等技术应用，在工程建设和管理过程中加强水利科技研究，努力营造科研人员潜心研究的制度环境，增强水利发展动能。 </w:t>
      </w:r>
    </w:p>
    <w:p>
      <w:pPr>
        <w:spacing w:line="580" w:lineRule="exact"/>
        <w:ind w:firstLine="640" w:firstLineChars="200"/>
        <w:rPr>
          <w:rFonts w:hint="eastAsia" w:ascii="Times New Roman" w:hAnsi="Times New Roman" w:eastAsia="黑体"/>
          <w:sz w:val="32"/>
          <w:szCs w:val="32"/>
        </w:rPr>
      </w:pPr>
      <w:r>
        <w:rPr>
          <w:rFonts w:hint="eastAsia" w:ascii="Times New Roman" w:hAnsi="Times New Roman" w:eastAsia="黑体"/>
          <w:sz w:val="32"/>
          <w:szCs w:val="32"/>
        </w:rPr>
        <w:t>六、强化项目支撑和投资</w:t>
      </w:r>
    </w:p>
    <w:p>
      <w:pPr>
        <w:spacing w:line="58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为了科学有序、精准推进“十四五”期间重点项目，自治区按照项目建设优先等级将全区项目分为A、B、C三类，我市依照项目划分等级，也分步分批有效推进项目落地，同时也积极推进未列入自治区项目清单但有需要的工程建设，并将此等级项目定位D类。</w:t>
      </w:r>
    </w:p>
    <w:p>
      <w:pPr>
        <w:spacing w:line="58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A 类为规划期内优先审批建设的项目；</w:t>
      </w:r>
    </w:p>
    <w:p>
      <w:pPr>
        <w:spacing w:line="58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B 类为完善相关工作后审批建设的项目；</w:t>
      </w:r>
    </w:p>
    <w:p>
      <w:pPr>
        <w:spacing w:line="58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C 类为需进一步论证和落实建设条件后适时审批建设的项目。</w:t>
      </w:r>
    </w:p>
    <w:p>
      <w:pPr>
        <w:spacing w:line="58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D类为未列入自治区项目清单的建设项目。</w:t>
      </w:r>
    </w:p>
    <w:p>
      <w:pPr>
        <w:spacing w:line="58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 xml:space="preserve">“十四五”期间我市共规划项目50项，总投资726.40亿元，“十四五”期间投资117.64亿元，见下表6-1所示。 其中 </w:t>
      </w:r>
    </w:p>
    <w:p>
      <w:pPr>
        <w:spacing w:line="58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A类项目16项，总投资705.22亿元，“十四五”期间投资101.70亿元；</w:t>
      </w:r>
    </w:p>
    <w:p>
      <w:pPr>
        <w:spacing w:line="58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B类项目17项，总投资19.32亿元，“十四五”期间投资14.08亿元；</w:t>
      </w:r>
    </w:p>
    <w:p>
      <w:pPr>
        <w:spacing w:line="58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D类项目17项，总投资1.86亿元，“十四五”期间投资1.86亿元。</w:t>
      </w:r>
    </w:p>
    <w:p>
      <w:pPr>
        <w:spacing w:line="540" w:lineRule="exact"/>
        <w:jc w:val="center"/>
        <w:rPr>
          <w:rFonts w:hint="eastAsia" w:ascii="Times New Roman" w:hAnsi="Times New Roman" w:eastAsia="黑体" w:cs="仿宋_GB2312"/>
          <w:sz w:val="32"/>
          <w:szCs w:val="32"/>
          <w:lang w:val="zh-TW"/>
        </w:rPr>
      </w:pPr>
      <w:r>
        <w:rPr>
          <w:rFonts w:hint="eastAsia" w:ascii="Times New Roman" w:hAnsi="Times New Roman" w:eastAsia="黑体" w:cs="仿宋_GB2312"/>
          <w:sz w:val="32"/>
          <w:szCs w:val="32"/>
          <w:lang w:val="zh-TW"/>
        </w:rPr>
        <w:t>表</w:t>
      </w:r>
      <w:r>
        <w:rPr>
          <w:rFonts w:hint="eastAsia" w:ascii="Times New Roman" w:hAnsi="Times New Roman" w:eastAsia="黑体" w:cs="仿宋_GB2312"/>
          <w:sz w:val="32"/>
          <w:szCs w:val="32"/>
        </w:rPr>
        <w:t>6</w:t>
      </w:r>
      <w:r>
        <w:rPr>
          <w:rFonts w:hint="eastAsia" w:ascii="Times New Roman" w:hAnsi="Times New Roman" w:eastAsia="黑体" w:cs="仿宋_GB2312"/>
          <w:sz w:val="32"/>
          <w:szCs w:val="32"/>
          <w:lang w:val="zh-TW"/>
        </w:rPr>
        <w:t>-1  按照项目建设优先等级划分投资统计表</w:t>
      </w:r>
    </w:p>
    <w:tbl>
      <w:tblPr>
        <w:tblStyle w:val="8"/>
        <w:tblW w:w="4998" w:type="pct"/>
        <w:tblInd w:w="0" w:type="dxa"/>
        <w:tblLayout w:type="autofit"/>
        <w:tblCellMar>
          <w:top w:w="0" w:type="dxa"/>
          <w:left w:w="108" w:type="dxa"/>
          <w:bottom w:w="0" w:type="dxa"/>
          <w:right w:w="108" w:type="dxa"/>
        </w:tblCellMar>
      </w:tblPr>
      <w:tblGrid>
        <w:gridCol w:w="1567"/>
        <w:gridCol w:w="1567"/>
        <w:gridCol w:w="1470"/>
        <w:gridCol w:w="1581"/>
        <w:gridCol w:w="1394"/>
        <w:gridCol w:w="1477"/>
      </w:tblGrid>
      <w:tr>
        <w:tblPrEx>
          <w:tblCellMar>
            <w:top w:w="0" w:type="dxa"/>
            <w:left w:w="108" w:type="dxa"/>
            <w:bottom w:w="0" w:type="dxa"/>
            <w:right w:w="108" w:type="dxa"/>
          </w:tblCellMar>
        </w:tblPrEx>
        <w:trPr>
          <w:trHeight w:val="270" w:hRule="atLeast"/>
        </w:trPr>
        <w:tc>
          <w:tcPr>
            <w:tcW w:w="870"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黑体" w:hAnsi="黑体" w:eastAsia="黑体" w:cs="宋体"/>
                <w:color w:val="000000"/>
                <w:sz w:val="28"/>
                <w:szCs w:val="28"/>
              </w:rPr>
            </w:pPr>
            <w:r>
              <w:rPr>
                <w:rFonts w:hint="eastAsia" w:ascii="黑体" w:hAnsi="黑体" w:eastAsia="黑体" w:cs="宋体"/>
                <w:color w:val="000000"/>
                <w:kern w:val="0"/>
                <w:sz w:val="28"/>
                <w:szCs w:val="28"/>
                <w:lang w:bidi="ar"/>
              </w:rPr>
              <w:t>等级</w:t>
            </w:r>
          </w:p>
        </w:tc>
        <w:tc>
          <w:tcPr>
            <w:tcW w:w="870"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黑体" w:hAnsi="黑体" w:eastAsia="黑体" w:cs="宋体"/>
                <w:color w:val="000000"/>
                <w:sz w:val="28"/>
                <w:szCs w:val="28"/>
              </w:rPr>
            </w:pPr>
            <w:r>
              <w:rPr>
                <w:rFonts w:hint="eastAsia" w:ascii="黑体" w:hAnsi="黑体" w:eastAsia="黑体" w:cs="宋体"/>
                <w:color w:val="000000"/>
                <w:kern w:val="0"/>
                <w:sz w:val="28"/>
                <w:szCs w:val="28"/>
                <w:lang w:bidi="ar"/>
              </w:rPr>
              <w:t>数量(个)</w:t>
            </w:r>
          </w:p>
        </w:tc>
        <w:tc>
          <w:tcPr>
            <w:tcW w:w="1693" w:type="pct"/>
            <w:gridSpan w:val="2"/>
            <w:tcBorders>
              <w:top w:val="single" w:color="000000" w:sz="4" w:space="0"/>
              <w:left w:val="single" w:color="000000" w:sz="4" w:space="0"/>
              <w:bottom w:val="single" w:color="000000" w:sz="4" w:space="0"/>
              <w:right w:val="single" w:color="000000" w:sz="4" w:space="0"/>
            </w:tcBorders>
            <w:vAlign w:val="center"/>
          </w:tcPr>
          <w:p>
            <w:pPr>
              <w:widowControl/>
              <w:spacing w:line="540" w:lineRule="exact"/>
              <w:jc w:val="center"/>
              <w:textAlignment w:val="center"/>
              <w:rPr>
                <w:rFonts w:hint="eastAsia" w:ascii="黑体" w:hAnsi="黑体" w:eastAsia="黑体" w:cs="宋体"/>
                <w:color w:val="000000"/>
                <w:sz w:val="28"/>
                <w:szCs w:val="28"/>
              </w:rPr>
            </w:pPr>
            <w:r>
              <w:rPr>
                <w:rFonts w:hint="eastAsia" w:ascii="黑体" w:hAnsi="黑体" w:eastAsia="黑体" w:cs="宋体"/>
                <w:color w:val="000000"/>
                <w:kern w:val="0"/>
                <w:sz w:val="28"/>
                <w:szCs w:val="28"/>
                <w:lang w:bidi="ar"/>
              </w:rPr>
              <w:t>总投资（亿元）</w:t>
            </w:r>
            <w:r>
              <w:rPr>
                <w:rFonts w:hint="eastAsia" w:ascii="黑体" w:hAnsi="黑体" w:eastAsia="黑体" w:cs="宋体"/>
                <w:color w:val="000000"/>
                <w:kern w:val="0"/>
                <w:sz w:val="28"/>
                <w:szCs w:val="28"/>
                <w:lang w:bidi="ar"/>
              </w:rPr>
              <w:br w:type="textWrapping"/>
            </w:r>
            <w:r>
              <w:rPr>
                <w:rFonts w:hint="eastAsia" w:ascii="黑体" w:hAnsi="黑体" w:eastAsia="黑体" w:cs="宋体"/>
                <w:color w:val="000000"/>
                <w:kern w:val="0"/>
                <w:sz w:val="28"/>
                <w:szCs w:val="28"/>
                <w:lang w:bidi="ar"/>
              </w:rPr>
              <w:t>十四五投资（亿元）</w:t>
            </w:r>
          </w:p>
        </w:tc>
        <w:tc>
          <w:tcPr>
            <w:tcW w:w="1565" w:type="pct"/>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黑体" w:hAnsi="黑体" w:eastAsia="黑体" w:cs="宋体"/>
                <w:color w:val="000000"/>
                <w:sz w:val="28"/>
                <w:szCs w:val="28"/>
              </w:rPr>
            </w:pPr>
            <w:r>
              <w:rPr>
                <w:rFonts w:hint="eastAsia" w:ascii="黑体" w:hAnsi="黑体" w:eastAsia="黑体" w:cs="宋体"/>
                <w:color w:val="000000"/>
                <w:kern w:val="0"/>
                <w:sz w:val="28"/>
                <w:szCs w:val="28"/>
                <w:lang w:bidi="ar"/>
              </w:rPr>
              <w:t>十四五投资（亿元）</w:t>
            </w:r>
          </w:p>
        </w:tc>
      </w:tr>
      <w:tr>
        <w:tblPrEx>
          <w:tblCellMar>
            <w:top w:w="0" w:type="dxa"/>
            <w:left w:w="108" w:type="dxa"/>
            <w:bottom w:w="0" w:type="dxa"/>
            <w:right w:w="108" w:type="dxa"/>
          </w:tblCellMar>
        </w:tblPrEx>
        <w:trPr>
          <w:trHeight w:val="270" w:hRule="atLeast"/>
        </w:trPr>
        <w:tc>
          <w:tcPr>
            <w:tcW w:w="870" w:type="pct"/>
            <w:vMerge w:val="continue"/>
            <w:tcBorders>
              <w:top w:val="single" w:color="000000" w:sz="4" w:space="0"/>
              <w:left w:val="single" w:color="000000" w:sz="4" w:space="0"/>
              <w:bottom w:val="single" w:color="000000" w:sz="4" w:space="0"/>
              <w:right w:val="single" w:color="000000" w:sz="4" w:space="0"/>
            </w:tcBorders>
            <w:noWrap/>
            <w:vAlign w:val="center"/>
          </w:tcPr>
          <w:p>
            <w:pPr>
              <w:spacing w:line="540" w:lineRule="exact"/>
              <w:jc w:val="center"/>
              <w:rPr>
                <w:rFonts w:hint="eastAsia" w:ascii="黑体" w:hAnsi="黑体" w:eastAsia="黑体" w:cs="宋体"/>
                <w:color w:val="000000"/>
                <w:sz w:val="28"/>
                <w:szCs w:val="28"/>
              </w:rPr>
            </w:pPr>
          </w:p>
        </w:tc>
        <w:tc>
          <w:tcPr>
            <w:tcW w:w="870" w:type="pct"/>
            <w:vMerge w:val="continue"/>
            <w:tcBorders>
              <w:top w:val="single" w:color="000000" w:sz="4" w:space="0"/>
              <w:left w:val="single" w:color="000000" w:sz="4" w:space="0"/>
              <w:bottom w:val="single" w:color="000000" w:sz="4" w:space="0"/>
              <w:right w:val="single" w:color="000000" w:sz="4" w:space="0"/>
            </w:tcBorders>
            <w:noWrap/>
            <w:vAlign w:val="center"/>
          </w:tcPr>
          <w:p>
            <w:pPr>
              <w:spacing w:line="540" w:lineRule="exact"/>
              <w:jc w:val="center"/>
              <w:rPr>
                <w:rFonts w:hint="eastAsia" w:ascii="黑体" w:hAnsi="黑体" w:eastAsia="黑体" w:cs="宋体"/>
                <w:color w:val="000000"/>
                <w:sz w:val="28"/>
                <w:szCs w:val="28"/>
              </w:rPr>
            </w:pPr>
          </w:p>
        </w:tc>
        <w:tc>
          <w:tcPr>
            <w:tcW w:w="816"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黑体" w:hAnsi="黑体" w:eastAsia="黑体" w:cs="宋体"/>
                <w:color w:val="000000"/>
                <w:sz w:val="28"/>
                <w:szCs w:val="28"/>
              </w:rPr>
            </w:pPr>
            <w:r>
              <w:rPr>
                <w:rFonts w:hint="eastAsia" w:ascii="黑体" w:hAnsi="黑体" w:eastAsia="黑体" w:cs="宋体"/>
                <w:color w:val="000000"/>
                <w:kern w:val="0"/>
                <w:sz w:val="28"/>
                <w:szCs w:val="28"/>
                <w:lang w:bidi="ar"/>
              </w:rPr>
              <w:t>投资</w:t>
            </w:r>
          </w:p>
        </w:tc>
        <w:tc>
          <w:tcPr>
            <w:tcW w:w="876"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黑体" w:hAnsi="黑体" w:eastAsia="黑体" w:cs="宋体"/>
                <w:color w:val="000000"/>
                <w:sz w:val="28"/>
                <w:szCs w:val="28"/>
              </w:rPr>
            </w:pPr>
            <w:r>
              <w:rPr>
                <w:rFonts w:hint="eastAsia" w:ascii="黑体" w:hAnsi="黑体" w:eastAsia="黑体" w:cs="宋体"/>
                <w:color w:val="000000"/>
                <w:kern w:val="0"/>
                <w:sz w:val="28"/>
                <w:szCs w:val="28"/>
                <w:lang w:bidi="ar"/>
              </w:rPr>
              <w:t>占比（%）</w:t>
            </w:r>
          </w:p>
        </w:tc>
        <w:tc>
          <w:tcPr>
            <w:tcW w:w="774"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黑体" w:hAnsi="黑体" w:eastAsia="黑体" w:cs="宋体"/>
                <w:color w:val="000000"/>
                <w:sz w:val="28"/>
                <w:szCs w:val="28"/>
              </w:rPr>
            </w:pPr>
            <w:r>
              <w:rPr>
                <w:rFonts w:hint="eastAsia" w:ascii="黑体" w:hAnsi="黑体" w:eastAsia="黑体" w:cs="宋体"/>
                <w:color w:val="000000"/>
                <w:kern w:val="0"/>
                <w:sz w:val="28"/>
                <w:szCs w:val="28"/>
                <w:lang w:bidi="ar"/>
              </w:rPr>
              <w:t>投资</w:t>
            </w:r>
          </w:p>
        </w:tc>
        <w:tc>
          <w:tcPr>
            <w:tcW w:w="791"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黑体" w:hAnsi="黑体" w:eastAsia="黑体" w:cs="宋体"/>
                <w:color w:val="000000"/>
                <w:sz w:val="28"/>
                <w:szCs w:val="28"/>
              </w:rPr>
            </w:pPr>
            <w:r>
              <w:rPr>
                <w:rFonts w:hint="eastAsia" w:ascii="黑体" w:hAnsi="黑体" w:eastAsia="黑体" w:cs="宋体"/>
                <w:color w:val="000000"/>
                <w:kern w:val="0"/>
                <w:sz w:val="28"/>
                <w:szCs w:val="28"/>
                <w:lang w:bidi="ar"/>
              </w:rPr>
              <w:t>比例（%）</w:t>
            </w:r>
          </w:p>
        </w:tc>
      </w:tr>
      <w:tr>
        <w:tblPrEx>
          <w:tblCellMar>
            <w:top w:w="0" w:type="dxa"/>
            <w:left w:w="108" w:type="dxa"/>
            <w:bottom w:w="0" w:type="dxa"/>
            <w:right w:w="108" w:type="dxa"/>
          </w:tblCellMar>
        </w:tblPrEx>
        <w:trPr>
          <w:trHeight w:val="270" w:hRule="atLeast"/>
        </w:trPr>
        <w:tc>
          <w:tcPr>
            <w:tcW w:w="870"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sz w:val="28"/>
                <w:szCs w:val="28"/>
              </w:rPr>
            </w:pPr>
            <w:r>
              <w:rPr>
                <w:rFonts w:hint="eastAsia" w:ascii="Times New Roman" w:hAnsi="Times New Roman" w:eastAsia="仿宋_GB2312" w:cs="宋体"/>
                <w:color w:val="000000"/>
                <w:kern w:val="0"/>
                <w:sz w:val="28"/>
                <w:szCs w:val="28"/>
                <w:lang w:bidi="ar"/>
              </w:rPr>
              <w:t>A</w:t>
            </w:r>
          </w:p>
        </w:tc>
        <w:tc>
          <w:tcPr>
            <w:tcW w:w="870"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sz w:val="28"/>
                <w:szCs w:val="28"/>
              </w:rPr>
            </w:pPr>
            <w:r>
              <w:rPr>
                <w:rFonts w:hint="eastAsia" w:ascii="Times New Roman" w:hAnsi="Times New Roman" w:eastAsia="仿宋_GB2312" w:cs="宋体"/>
                <w:color w:val="000000"/>
                <w:kern w:val="0"/>
                <w:sz w:val="28"/>
                <w:szCs w:val="28"/>
                <w:lang w:bidi="ar"/>
              </w:rPr>
              <w:t>16</w:t>
            </w:r>
          </w:p>
        </w:tc>
        <w:tc>
          <w:tcPr>
            <w:tcW w:w="816"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sz w:val="28"/>
                <w:szCs w:val="28"/>
              </w:rPr>
            </w:pPr>
            <w:r>
              <w:rPr>
                <w:rFonts w:hint="eastAsia" w:ascii="Times New Roman" w:hAnsi="Times New Roman" w:eastAsia="仿宋_GB2312" w:cs="宋体"/>
                <w:color w:val="000000"/>
                <w:kern w:val="0"/>
                <w:sz w:val="28"/>
                <w:szCs w:val="28"/>
                <w:lang w:bidi="ar"/>
              </w:rPr>
              <w:t xml:space="preserve">705.22 </w:t>
            </w:r>
          </w:p>
        </w:tc>
        <w:tc>
          <w:tcPr>
            <w:tcW w:w="876"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sz w:val="28"/>
                <w:szCs w:val="28"/>
              </w:rPr>
            </w:pPr>
            <w:r>
              <w:rPr>
                <w:rFonts w:hint="eastAsia" w:ascii="Times New Roman" w:hAnsi="Times New Roman" w:eastAsia="仿宋_GB2312" w:cs="宋体"/>
                <w:color w:val="000000"/>
                <w:kern w:val="0"/>
                <w:sz w:val="28"/>
                <w:szCs w:val="28"/>
                <w:lang w:bidi="ar"/>
              </w:rPr>
              <w:t xml:space="preserve">97.08 </w:t>
            </w:r>
          </w:p>
        </w:tc>
        <w:tc>
          <w:tcPr>
            <w:tcW w:w="774"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sz w:val="28"/>
                <w:szCs w:val="28"/>
              </w:rPr>
            </w:pPr>
            <w:r>
              <w:rPr>
                <w:rFonts w:hint="eastAsia" w:ascii="Times New Roman" w:hAnsi="Times New Roman" w:eastAsia="仿宋_GB2312" w:cs="宋体"/>
                <w:color w:val="000000"/>
                <w:kern w:val="0"/>
                <w:sz w:val="28"/>
                <w:szCs w:val="28"/>
                <w:lang w:bidi="ar"/>
              </w:rPr>
              <w:t xml:space="preserve">101.70 </w:t>
            </w:r>
          </w:p>
        </w:tc>
        <w:tc>
          <w:tcPr>
            <w:tcW w:w="791"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sz w:val="28"/>
                <w:szCs w:val="28"/>
              </w:rPr>
            </w:pPr>
            <w:r>
              <w:rPr>
                <w:rFonts w:hint="eastAsia" w:ascii="Times New Roman" w:hAnsi="Times New Roman" w:eastAsia="仿宋_GB2312" w:cs="宋体"/>
                <w:color w:val="000000"/>
                <w:kern w:val="0"/>
                <w:sz w:val="28"/>
                <w:szCs w:val="28"/>
                <w:lang w:bidi="ar"/>
              </w:rPr>
              <w:t xml:space="preserve">86.45 </w:t>
            </w:r>
          </w:p>
        </w:tc>
      </w:tr>
      <w:tr>
        <w:tblPrEx>
          <w:tblCellMar>
            <w:top w:w="0" w:type="dxa"/>
            <w:left w:w="108" w:type="dxa"/>
            <w:bottom w:w="0" w:type="dxa"/>
            <w:right w:w="108" w:type="dxa"/>
          </w:tblCellMar>
        </w:tblPrEx>
        <w:trPr>
          <w:trHeight w:val="270" w:hRule="atLeast"/>
        </w:trPr>
        <w:tc>
          <w:tcPr>
            <w:tcW w:w="870"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sz w:val="28"/>
                <w:szCs w:val="28"/>
              </w:rPr>
            </w:pPr>
            <w:r>
              <w:rPr>
                <w:rFonts w:hint="eastAsia" w:ascii="Times New Roman" w:hAnsi="Times New Roman" w:eastAsia="仿宋_GB2312" w:cs="宋体"/>
                <w:color w:val="000000"/>
                <w:kern w:val="0"/>
                <w:sz w:val="28"/>
                <w:szCs w:val="28"/>
                <w:lang w:bidi="ar"/>
              </w:rPr>
              <w:t>B</w:t>
            </w:r>
          </w:p>
        </w:tc>
        <w:tc>
          <w:tcPr>
            <w:tcW w:w="870"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sz w:val="28"/>
                <w:szCs w:val="28"/>
              </w:rPr>
            </w:pPr>
            <w:r>
              <w:rPr>
                <w:rFonts w:hint="eastAsia" w:ascii="Times New Roman" w:hAnsi="Times New Roman" w:eastAsia="仿宋_GB2312" w:cs="宋体"/>
                <w:color w:val="000000"/>
                <w:kern w:val="0"/>
                <w:sz w:val="28"/>
                <w:szCs w:val="28"/>
                <w:lang w:bidi="ar"/>
              </w:rPr>
              <w:t>17</w:t>
            </w:r>
          </w:p>
        </w:tc>
        <w:tc>
          <w:tcPr>
            <w:tcW w:w="816"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sz w:val="28"/>
                <w:szCs w:val="28"/>
              </w:rPr>
            </w:pPr>
            <w:r>
              <w:rPr>
                <w:rFonts w:hint="eastAsia" w:ascii="Times New Roman" w:hAnsi="Times New Roman" w:eastAsia="仿宋_GB2312" w:cs="宋体"/>
                <w:color w:val="000000"/>
                <w:kern w:val="0"/>
                <w:sz w:val="28"/>
                <w:szCs w:val="28"/>
                <w:lang w:bidi="ar"/>
              </w:rPr>
              <w:t xml:space="preserve">19.32 </w:t>
            </w:r>
          </w:p>
        </w:tc>
        <w:tc>
          <w:tcPr>
            <w:tcW w:w="876"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sz w:val="28"/>
                <w:szCs w:val="28"/>
              </w:rPr>
            </w:pPr>
            <w:r>
              <w:rPr>
                <w:rFonts w:hint="eastAsia" w:ascii="Times New Roman" w:hAnsi="Times New Roman" w:eastAsia="仿宋_GB2312" w:cs="宋体"/>
                <w:color w:val="000000"/>
                <w:kern w:val="0"/>
                <w:sz w:val="28"/>
                <w:szCs w:val="28"/>
                <w:lang w:bidi="ar"/>
              </w:rPr>
              <w:t xml:space="preserve">2.66 </w:t>
            </w:r>
          </w:p>
        </w:tc>
        <w:tc>
          <w:tcPr>
            <w:tcW w:w="774"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sz w:val="28"/>
                <w:szCs w:val="28"/>
              </w:rPr>
            </w:pPr>
            <w:r>
              <w:rPr>
                <w:rFonts w:hint="eastAsia" w:ascii="Times New Roman" w:hAnsi="Times New Roman" w:eastAsia="仿宋_GB2312" w:cs="宋体"/>
                <w:color w:val="000000"/>
                <w:kern w:val="0"/>
                <w:sz w:val="28"/>
                <w:szCs w:val="28"/>
                <w:lang w:bidi="ar"/>
              </w:rPr>
              <w:t xml:space="preserve">14.08 </w:t>
            </w:r>
          </w:p>
        </w:tc>
        <w:tc>
          <w:tcPr>
            <w:tcW w:w="791"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sz w:val="28"/>
                <w:szCs w:val="28"/>
              </w:rPr>
            </w:pPr>
            <w:r>
              <w:rPr>
                <w:rFonts w:hint="eastAsia" w:ascii="Times New Roman" w:hAnsi="Times New Roman" w:eastAsia="仿宋_GB2312" w:cs="宋体"/>
                <w:color w:val="000000"/>
                <w:kern w:val="0"/>
                <w:sz w:val="28"/>
                <w:szCs w:val="28"/>
                <w:lang w:bidi="ar"/>
              </w:rPr>
              <w:t xml:space="preserve">11.97 </w:t>
            </w:r>
          </w:p>
        </w:tc>
      </w:tr>
      <w:tr>
        <w:tblPrEx>
          <w:tblCellMar>
            <w:top w:w="0" w:type="dxa"/>
            <w:left w:w="108" w:type="dxa"/>
            <w:bottom w:w="0" w:type="dxa"/>
            <w:right w:w="108" w:type="dxa"/>
          </w:tblCellMar>
        </w:tblPrEx>
        <w:trPr>
          <w:trHeight w:val="270" w:hRule="atLeast"/>
        </w:trPr>
        <w:tc>
          <w:tcPr>
            <w:tcW w:w="870"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sz w:val="28"/>
                <w:szCs w:val="28"/>
              </w:rPr>
            </w:pPr>
            <w:r>
              <w:rPr>
                <w:rFonts w:hint="eastAsia" w:ascii="Times New Roman" w:hAnsi="Times New Roman" w:eastAsia="仿宋_GB2312" w:cs="宋体"/>
                <w:color w:val="000000"/>
                <w:kern w:val="0"/>
                <w:sz w:val="28"/>
                <w:szCs w:val="28"/>
                <w:lang w:bidi="ar"/>
              </w:rPr>
              <w:t>C</w:t>
            </w:r>
          </w:p>
        </w:tc>
        <w:tc>
          <w:tcPr>
            <w:tcW w:w="870"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sz w:val="28"/>
                <w:szCs w:val="28"/>
              </w:rPr>
            </w:pPr>
            <w:r>
              <w:rPr>
                <w:rFonts w:hint="eastAsia" w:ascii="Times New Roman" w:hAnsi="Times New Roman" w:eastAsia="仿宋_GB2312" w:cs="宋体"/>
                <w:color w:val="000000"/>
                <w:kern w:val="0"/>
                <w:sz w:val="28"/>
                <w:szCs w:val="28"/>
                <w:lang w:bidi="ar"/>
              </w:rPr>
              <w:t>0</w:t>
            </w:r>
          </w:p>
        </w:tc>
        <w:tc>
          <w:tcPr>
            <w:tcW w:w="816"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sz w:val="28"/>
                <w:szCs w:val="28"/>
              </w:rPr>
            </w:pPr>
            <w:r>
              <w:rPr>
                <w:rFonts w:hint="eastAsia" w:ascii="Times New Roman" w:hAnsi="Times New Roman" w:eastAsia="仿宋_GB2312" w:cs="宋体"/>
                <w:color w:val="000000"/>
                <w:kern w:val="0"/>
                <w:sz w:val="28"/>
                <w:szCs w:val="28"/>
                <w:lang w:bidi="ar"/>
              </w:rPr>
              <w:t xml:space="preserve">0.00 </w:t>
            </w:r>
          </w:p>
        </w:tc>
        <w:tc>
          <w:tcPr>
            <w:tcW w:w="876"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sz w:val="28"/>
                <w:szCs w:val="28"/>
              </w:rPr>
            </w:pPr>
            <w:r>
              <w:rPr>
                <w:rFonts w:hint="eastAsia" w:ascii="Times New Roman" w:hAnsi="Times New Roman" w:eastAsia="仿宋_GB2312" w:cs="宋体"/>
                <w:color w:val="000000"/>
                <w:kern w:val="0"/>
                <w:sz w:val="28"/>
                <w:szCs w:val="28"/>
                <w:lang w:bidi="ar"/>
              </w:rPr>
              <w:t xml:space="preserve">0.00 </w:t>
            </w:r>
          </w:p>
        </w:tc>
        <w:tc>
          <w:tcPr>
            <w:tcW w:w="774"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sz w:val="28"/>
                <w:szCs w:val="28"/>
              </w:rPr>
            </w:pPr>
            <w:r>
              <w:rPr>
                <w:rFonts w:hint="eastAsia" w:ascii="Times New Roman" w:hAnsi="Times New Roman" w:eastAsia="仿宋_GB2312" w:cs="宋体"/>
                <w:color w:val="000000"/>
                <w:kern w:val="0"/>
                <w:sz w:val="28"/>
                <w:szCs w:val="28"/>
                <w:lang w:bidi="ar"/>
              </w:rPr>
              <w:t xml:space="preserve">0.00 </w:t>
            </w:r>
          </w:p>
        </w:tc>
        <w:tc>
          <w:tcPr>
            <w:tcW w:w="791"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sz w:val="28"/>
                <w:szCs w:val="28"/>
              </w:rPr>
            </w:pPr>
            <w:r>
              <w:rPr>
                <w:rFonts w:hint="eastAsia" w:ascii="Times New Roman" w:hAnsi="Times New Roman" w:eastAsia="仿宋_GB2312" w:cs="宋体"/>
                <w:color w:val="000000"/>
                <w:kern w:val="0"/>
                <w:sz w:val="28"/>
                <w:szCs w:val="28"/>
                <w:lang w:bidi="ar"/>
              </w:rPr>
              <w:t xml:space="preserve">0.00 </w:t>
            </w:r>
          </w:p>
        </w:tc>
      </w:tr>
      <w:tr>
        <w:tblPrEx>
          <w:tblCellMar>
            <w:top w:w="0" w:type="dxa"/>
            <w:left w:w="108" w:type="dxa"/>
            <w:bottom w:w="0" w:type="dxa"/>
            <w:right w:w="108" w:type="dxa"/>
          </w:tblCellMar>
        </w:tblPrEx>
        <w:trPr>
          <w:trHeight w:val="270" w:hRule="atLeast"/>
        </w:trPr>
        <w:tc>
          <w:tcPr>
            <w:tcW w:w="870"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sz w:val="28"/>
                <w:szCs w:val="28"/>
              </w:rPr>
            </w:pPr>
            <w:r>
              <w:rPr>
                <w:rFonts w:hint="eastAsia" w:ascii="Times New Roman" w:hAnsi="Times New Roman" w:eastAsia="仿宋_GB2312" w:cs="宋体"/>
                <w:color w:val="000000"/>
                <w:kern w:val="0"/>
                <w:sz w:val="28"/>
                <w:szCs w:val="28"/>
                <w:lang w:bidi="ar"/>
              </w:rPr>
              <w:t>D</w:t>
            </w:r>
          </w:p>
        </w:tc>
        <w:tc>
          <w:tcPr>
            <w:tcW w:w="870"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sz w:val="28"/>
                <w:szCs w:val="28"/>
              </w:rPr>
            </w:pPr>
            <w:r>
              <w:rPr>
                <w:rFonts w:hint="eastAsia" w:ascii="Times New Roman" w:hAnsi="Times New Roman" w:eastAsia="仿宋_GB2312" w:cs="宋体"/>
                <w:color w:val="000000"/>
                <w:kern w:val="0"/>
                <w:sz w:val="28"/>
                <w:szCs w:val="28"/>
                <w:lang w:bidi="ar"/>
              </w:rPr>
              <w:t>17</w:t>
            </w:r>
          </w:p>
        </w:tc>
        <w:tc>
          <w:tcPr>
            <w:tcW w:w="816"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sz w:val="28"/>
                <w:szCs w:val="28"/>
              </w:rPr>
            </w:pPr>
            <w:r>
              <w:rPr>
                <w:rFonts w:hint="eastAsia" w:ascii="Times New Roman" w:hAnsi="Times New Roman" w:eastAsia="仿宋_GB2312" w:cs="宋体"/>
                <w:color w:val="000000"/>
                <w:kern w:val="0"/>
                <w:sz w:val="28"/>
                <w:szCs w:val="28"/>
                <w:lang w:bidi="ar"/>
              </w:rPr>
              <w:t xml:space="preserve">1.86 </w:t>
            </w:r>
          </w:p>
        </w:tc>
        <w:tc>
          <w:tcPr>
            <w:tcW w:w="876"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sz w:val="28"/>
                <w:szCs w:val="28"/>
              </w:rPr>
            </w:pPr>
            <w:r>
              <w:rPr>
                <w:rFonts w:hint="eastAsia" w:ascii="Times New Roman" w:hAnsi="Times New Roman" w:eastAsia="仿宋_GB2312" w:cs="宋体"/>
                <w:color w:val="000000"/>
                <w:kern w:val="0"/>
                <w:sz w:val="28"/>
                <w:szCs w:val="28"/>
                <w:lang w:bidi="ar"/>
              </w:rPr>
              <w:t xml:space="preserve">0.26 </w:t>
            </w:r>
          </w:p>
        </w:tc>
        <w:tc>
          <w:tcPr>
            <w:tcW w:w="774"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sz w:val="28"/>
                <w:szCs w:val="28"/>
              </w:rPr>
            </w:pPr>
            <w:r>
              <w:rPr>
                <w:rFonts w:hint="eastAsia" w:ascii="Times New Roman" w:hAnsi="Times New Roman" w:eastAsia="仿宋_GB2312" w:cs="宋体"/>
                <w:color w:val="000000"/>
                <w:kern w:val="0"/>
                <w:sz w:val="28"/>
                <w:szCs w:val="28"/>
                <w:lang w:bidi="ar"/>
              </w:rPr>
              <w:t xml:space="preserve">1.86 </w:t>
            </w:r>
          </w:p>
        </w:tc>
        <w:tc>
          <w:tcPr>
            <w:tcW w:w="791"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sz w:val="28"/>
                <w:szCs w:val="28"/>
              </w:rPr>
            </w:pPr>
            <w:r>
              <w:rPr>
                <w:rFonts w:hint="eastAsia" w:ascii="Times New Roman" w:hAnsi="Times New Roman" w:eastAsia="仿宋_GB2312" w:cs="宋体"/>
                <w:color w:val="000000"/>
                <w:kern w:val="0"/>
                <w:sz w:val="28"/>
                <w:szCs w:val="28"/>
                <w:lang w:bidi="ar"/>
              </w:rPr>
              <w:t xml:space="preserve">1.58 </w:t>
            </w:r>
          </w:p>
        </w:tc>
      </w:tr>
      <w:tr>
        <w:tblPrEx>
          <w:tblCellMar>
            <w:top w:w="0" w:type="dxa"/>
            <w:left w:w="108" w:type="dxa"/>
            <w:bottom w:w="0" w:type="dxa"/>
            <w:right w:w="108" w:type="dxa"/>
          </w:tblCellMar>
        </w:tblPrEx>
        <w:trPr>
          <w:trHeight w:val="270" w:hRule="atLeast"/>
        </w:trPr>
        <w:tc>
          <w:tcPr>
            <w:tcW w:w="870"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sz w:val="28"/>
                <w:szCs w:val="28"/>
              </w:rPr>
            </w:pPr>
            <w:r>
              <w:rPr>
                <w:rFonts w:hint="eastAsia" w:ascii="Times New Roman" w:hAnsi="Times New Roman" w:eastAsia="仿宋_GB2312" w:cs="宋体"/>
                <w:color w:val="000000"/>
                <w:kern w:val="0"/>
                <w:sz w:val="28"/>
                <w:szCs w:val="28"/>
                <w:lang w:bidi="ar"/>
              </w:rPr>
              <w:t>合计</w:t>
            </w:r>
          </w:p>
        </w:tc>
        <w:tc>
          <w:tcPr>
            <w:tcW w:w="870"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sz w:val="28"/>
                <w:szCs w:val="28"/>
              </w:rPr>
            </w:pPr>
            <w:r>
              <w:rPr>
                <w:rFonts w:hint="eastAsia" w:ascii="Times New Roman" w:hAnsi="Times New Roman" w:eastAsia="仿宋_GB2312" w:cs="宋体"/>
                <w:color w:val="000000"/>
                <w:kern w:val="0"/>
                <w:sz w:val="28"/>
                <w:szCs w:val="28"/>
                <w:lang w:bidi="ar"/>
              </w:rPr>
              <w:t>50</w:t>
            </w:r>
          </w:p>
        </w:tc>
        <w:tc>
          <w:tcPr>
            <w:tcW w:w="816"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sz w:val="28"/>
                <w:szCs w:val="28"/>
              </w:rPr>
            </w:pPr>
            <w:r>
              <w:rPr>
                <w:rFonts w:hint="eastAsia" w:ascii="Times New Roman" w:hAnsi="Times New Roman" w:eastAsia="仿宋_GB2312" w:cs="宋体"/>
                <w:color w:val="000000"/>
                <w:kern w:val="0"/>
                <w:sz w:val="28"/>
                <w:szCs w:val="28"/>
                <w:lang w:bidi="ar"/>
              </w:rPr>
              <w:t xml:space="preserve">726.40 </w:t>
            </w:r>
          </w:p>
        </w:tc>
        <w:tc>
          <w:tcPr>
            <w:tcW w:w="876"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sz w:val="28"/>
                <w:szCs w:val="28"/>
              </w:rPr>
            </w:pPr>
            <w:r>
              <w:rPr>
                <w:rFonts w:hint="eastAsia" w:ascii="Times New Roman" w:hAnsi="Times New Roman" w:eastAsia="仿宋_GB2312" w:cs="宋体"/>
                <w:color w:val="000000"/>
                <w:kern w:val="0"/>
                <w:sz w:val="28"/>
                <w:szCs w:val="28"/>
                <w:lang w:bidi="ar"/>
              </w:rPr>
              <w:t>100</w:t>
            </w:r>
          </w:p>
        </w:tc>
        <w:tc>
          <w:tcPr>
            <w:tcW w:w="774"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sz w:val="28"/>
                <w:szCs w:val="28"/>
              </w:rPr>
            </w:pPr>
            <w:r>
              <w:rPr>
                <w:rFonts w:hint="eastAsia" w:ascii="Times New Roman" w:hAnsi="Times New Roman" w:eastAsia="仿宋_GB2312" w:cs="宋体"/>
                <w:color w:val="000000"/>
                <w:kern w:val="0"/>
                <w:sz w:val="28"/>
                <w:szCs w:val="28"/>
                <w:lang w:bidi="ar"/>
              </w:rPr>
              <w:t xml:space="preserve">117.64 </w:t>
            </w:r>
          </w:p>
        </w:tc>
        <w:tc>
          <w:tcPr>
            <w:tcW w:w="791"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sz w:val="28"/>
                <w:szCs w:val="28"/>
              </w:rPr>
            </w:pPr>
            <w:r>
              <w:rPr>
                <w:rFonts w:hint="eastAsia" w:ascii="Times New Roman" w:hAnsi="Times New Roman" w:eastAsia="仿宋_GB2312" w:cs="宋体"/>
                <w:color w:val="000000"/>
                <w:kern w:val="0"/>
                <w:sz w:val="28"/>
                <w:szCs w:val="28"/>
                <w:lang w:bidi="ar"/>
              </w:rPr>
              <w:t>100</w:t>
            </w:r>
          </w:p>
        </w:tc>
      </w:tr>
    </w:tbl>
    <w:p>
      <w:pPr>
        <w:spacing w:line="240" w:lineRule="atLeast"/>
        <w:ind w:firstLine="420" w:firstLineChars="200"/>
        <w:jc w:val="center"/>
        <w:rPr>
          <w:rFonts w:hint="eastAsia" w:ascii="Times New Roman" w:hAnsi="Times New Roman"/>
        </w:rPr>
      </w:pPr>
    </w:p>
    <w:p>
      <w:pPr>
        <w:spacing w:line="240" w:lineRule="atLeast"/>
        <w:ind w:firstLine="420" w:firstLineChars="200"/>
        <w:jc w:val="center"/>
        <w:rPr>
          <w:rFonts w:ascii="Times New Roman" w:hAnsi="Times New Roman"/>
        </w:rPr>
      </w:pPr>
      <w:r>
        <w:rPr>
          <w:rFonts w:ascii="Times New Roman" w:hAnsi="Times New Roman"/>
          <w:lang w:bidi="mn-Mong-CN"/>
        </w:rPr>
        <w:drawing>
          <wp:inline distT="0" distB="0" distL="0" distR="0">
            <wp:extent cx="4400550" cy="3086100"/>
            <wp:effectExtent l="0" t="0" r="0" b="0"/>
            <wp:docPr id="2"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true" noChangeArrowheads="true"/>
                    </pic:cNvPicPr>
                  </pic:nvPicPr>
                  <pic:blipFill>
                    <a:blip r:embed="rId6">
                      <a:extLst>
                        <a:ext uri="{28A0092B-C50C-407E-A947-70E740481C1C}">
                          <a14:useLocalDpi xmlns:a14="http://schemas.microsoft.com/office/drawing/2010/main" val="false"/>
                        </a:ext>
                      </a:extLst>
                    </a:blip>
                    <a:srcRect/>
                    <a:stretch>
                      <a:fillRect/>
                    </a:stretch>
                  </pic:blipFill>
                  <pic:spPr>
                    <a:xfrm>
                      <a:off x="0" y="0"/>
                      <a:ext cx="4400550" cy="3086100"/>
                    </a:xfrm>
                    <a:prstGeom prst="rect">
                      <a:avLst/>
                    </a:prstGeom>
                    <a:noFill/>
                    <a:ln>
                      <a:noFill/>
                    </a:ln>
                  </pic:spPr>
                </pic:pic>
              </a:graphicData>
            </a:graphic>
          </wp:inline>
        </w:drawing>
      </w:r>
    </w:p>
    <w:p>
      <w:pPr>
        <w:spacing w:line="58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通辽市“十四五”水安全保障规划包括供水安全保障建设，防洪保障能力建设，水生态环境保障能力建设，水利信息化及基础科学研究四大板块，共规划项目50个，总投资726.40亿元，“十四五”期间投资117.64亿元，其中：</w:t>
      </w:r>
    </w:p>
    <w:p>
      <w:pPr>
        <w:spacing w:line="58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 xml:space="preserve">供水安全保障建设项目7个，总投资613.88亿元，“十四五”期间投资86.55亿元； </w:t>
      </w:r>
    </w:p>
    <w:p>
      <w:pPr>
        <w:spacing w:line="58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 xml:space="preserve">防洪保障能力建设项目24项，总投资10.96亿元，“十四五”期间投资10.96亿元； </w:t>
      </w:r>
    </w:p>
    <w:p>
      <w:pPr>
        <w:spacing w:line="58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水生态环境保障能力建设项目6项，总投资100.20亿元，“十四五”期间投资18.77亿元；</w:t>
      </w:r>
    </w:p>
    <w:p>
      <w:pPr>
        <w:spacing w:line="58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 xml:space="preserve">水利信息化及基础科学研究项目13项，总投资1.36亿元，“十四五”期间投资1.36亿元。 </w:t>
      </w:r>
    </w:p>
    <w:p>
      <w:pPr>
        <w:spacing w:line="560" w:lineRule="exact"/>
        <w:ind w:firstLine="640" w:firstLineChars="200"/>
        <w:rPr>
          <w:rFonts w:ascii="Times New Roman" w:hAnsi="Times New Roman" w:eastAsia="仿宋_GB2312"/>
          <w:sz w:val="32"/>
          <w:szCs w:val="32"/>
        </w:rPr>
      </w:pPr>
    </w:p>
    <w:p>
      <w:pPr>
        <w:spacing w:line="540" w:lineRule="exact"/>
        <w:jc w:val="center"/>
        <w:rPr>
          <w:rFonts w:hint="eastAsia" w:ascii="Times New Roman" w:hAnsi="Times New Roman" w:eastAsia="黑体" w:cs="仿宋_GB2312"/>
          <w:sz w:val="32"/>
          <w:szCs w:val="32"/>
          <w:lang w:val="zh-TW"/>
        </w:rPr>
      </w:pPr>
      <w:r>
        <w:rPr>
          <w:rFonts w:hint="eastAsia" w:ascii="Times New Roman" w:hAnsi="Times New Roman" w:eastAsia="黑体" w:cs="仿宋_GB2312"/>
          <w:sz w:val="32"/>
          <w:szCs w:val="32"/>
          <w:lang w:val="zh-TW"/>
        </w:rPr>
        <w:t>表</w:t>
      </w:r>
      <w:r>
        <w:rPr>
          <w:rFonts w:hint="eastAsia" w:ascii="Times New Roman" w:hAnsi="Times New Roman" w:eastAsia="黑体" w:cs="仿宋_GB2312"/>
          <w:sz w:val="32"/>
          <w:szCs w:val="32"/>
        </w:rPr>
        <w:t>6</w:t>
      </w:r>
      <w:r>
        <w:rPr>
          <w:rFonts w:hint="eastAsia" w:ascii="Times New Roman" w:hAnsi="Times New Roman" w:eastAsia="黑体" w:cs="仿宋_GB2312"/>
          <w:sz w:val="32"/>
          <w:szCs w:val="32"/>
          <w:lang w:val="zh-TW"/>
        </w:rPr>
        <w:t>-2  按照规划板块分类划分投资统计表</w:t>
      </w:r>
    </w:p>
    <w:tbl>
      <w:tblPr>
        <w:tblStyle w:val="8"/>
        <w:tblW w:w="5242" w:type="pct"/>
        <w:tblInd w:w="-318" w:type="dxa"/>
        <w:tblLayout w:type="fixed"/>
        <w:tblCellMar>
          <w:top w:w="0" w:type="dxa"/>
          <w:left w:w="108" w:type="dxa"/>
          <w:bottom w:w="0" w:type="dxa"/>
          <w:right w:w="108" w:type="dxa"/>
        </w:tblCellMar>
      </w:tblPr>
      <w:tblGrid>
        <w:gridCol w:w="3337"/>
        <w:gridCol w:w="895"/>
        <w:gridCol w:w="1170"/>
        <w:gridCol w:w="1448"/>
        <w:gridCol w:w="1066"/>
        <w:gridCol w:w="1583"/>
      </w:tblGrid>
      <w:tr>
        <w:tblPrEx>
          <w:tblCellMar>
            <w:top w:w="0" w:type="dxa"/>
            <w:left w:w="108" w:type="dxa"/>
            <w:bottom w:w="0" w:type="dxa"/>
            <w:right w:w="108" w:type="dxa"/>
          </w:tblCellMar>
        </w:tblPrEx>
        <w:trPr>
          <w:trHeight w:val="270" w:hRule="atLeast"/>
        </w:trPr>
        <w:tc>
          <w:tcPr>
            <w:tcW w:w="1757"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黑体" w:hAnsi="黑体" w:eastAsia="黑体" w:cs="宋体"/>
                <w:color w:val="000000"/>
                <w:kern w:val="0"/>
                <w:sz w:val="28"/>
                <w:szCs w:val="28"/>
                <w:lang w:bidi="ar"/>
              </w:rPr>
            </w:pPr>
            <w:r>
              <w:rPr>
                <w:rFonts w:hint="eastAsia" w:ascii="黑体" w:hAnsi="黑体" w:eastAsia="黑体" w:cs="宋体"/>
                <w:color w:val="000000"/>
                <w:kern w:val="0"/>
                <w:sz w:val="28"/>
                <w:szCs w:val="28"/>
                <w:lang w:bidi="ar"/>
              </w:rPr>
              <w:t>板块</w:t>
            </w:r>
          </w:p>
        </w:tc>
        <w:tc>
          <w:tcPr>
            <w:tcW w:w="471"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黑体" w:hAnsi="黑体" w:eastAsia="黑体" w:cs="宋体"/>
                <w:color w:val="000000"/>
                <w:kern w:val="0"/>
                <w:sz w:val="28"/>
                <w:szCs w:val="28"/>
                <w:lang w:bidi="ar"/>
              </w:rPr>
            </w:pPr>
            <w:r>
              <w:rPr>
                <w:rFonts w:hint="eastAsia" w:ascii="黑体" w:hAnsi="黑体" w:eastAsia="黑体" w:cs="宋体"/>
                <w:color w:val="000000"/>
                <w:kern w:val="0"/>
                <w:sz w:val="28"/>
                <w:szCs w:val="28"/>
                <w:lang w:bidi="ar"/>
              </w:rPr>
              <w:t>数量(个)</w:t>
            </w:r>
          </w:p>
        </w:tc>
        <w:tc>
          <w:tcPr>
            <w:tcW w:w="1378" w:type="pct"/>
            <w:gridSpan w:val="2"/>
            <w:tcBorders>
              <w:top w:val="single" w:color="000000" w:sz="4" w:space="0"/>
              <w:left w:val="single" w:color="000000" w:sz="4" w:space="0"/>
              <w:bottom w:val="single" w:color="000000" w:sz="4" w:space="0"/>
              <w:right w:val="single" w:color="000000" w:sz="4" w:space="0"/>
            </w:tcBorders>
            <w:vAlign w:val="center"/>
          </w:tcPr>
          <w:p>
            <w:pPr>
              <w:widowControl/>
              <w:spacing w:line="540" w:lineRule="exact"/>
              <w:jc w:val="center"/>
              <w:textAlignment w:val="center"/>
              <w:rPr>
                <w:rFonts w:hint="eastAsia" w:ascii="黑体" w:hAnsi="黑体" w:eastAsia="黑体" w:cs="宋体"/>
                <w:color w:val="000000"/>
                <w:kern w:val="0"/>
                <w:sz w:val="28"/>
                <w:szCs w:val="28"/>
                <w:lang w:bidi="ar"/>
              </w:rPr>
            </w:pPr>
            <w:r>
              <w:rPr>
                <w:rFonts w:hint="eastAsia" w:ascii="黑体" w:hAnsi="黑体" w:eastAsia="黑体" w:cs="宋体"/>
                <w:color w:val="000000"/>
                <w:kern w:val="0"/>
                <w:sz w:val="28"/>
                <w:szCs w:val="28"/>
                <w:lang w:bidi="ar"/>
              </w:rPr>
              <w:t>总投资（亿元）</w:t>
            </w:r>
            <w:r>
              <w:rPr>
                <w:rFonts w:hint="eastAsia" w:ascii="黑体" w:hAnsi="黑体" w:eastAsia="黑体" w:cs="宋体"/>
                <w:color w:val="000000"/>
                <w:kern w:val="0"/>
                <w:sz w:val="28"/>
                <w:szCs w:val="28"/>
                <w:lang w:bidi="ar"/>
              </w:rPr>
              <w:br w:type="textWrapping"/>
            </w:r>
            <w:r>
              <w:rPr>
                <w:rFonts w:hint="eastAsia" w:ascii="黑体" w:hAnsi="黑体" w:eastAsia="黑体" w:cs="宋体"/>
                <w:color w:val="000000"/>
                <w:kern w:val="0"/>
                <w:sz w:val="28"/>
                <w:szCs w:val="28"/>
                <w:lang w:bidi="ar"/>
              </w:rPr>
              <w:t>十四五投资（亿元）</w:t>
            </w:r>
          </w:p>
        </w:tc>
        <w:tc>
          <w:tcPr>
            <w:tcW w:w="1393" w:type="pct"/>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黑体" w:hAnsi="黑体" w:eastAsia="黑体" w:cs="宋体"/>
                <w:color w:val="000000"/>
                <w:kern w:val="0"/>
                <w:sz w:val="28"/>
                <w:szCs w:val="28"/>
                <w:lang w:bidi="ar"/>
              </w:rPr>
            </w:pPr>
            <w:r>
              <w:rPr>
                <w:rFonts w:hint="eastAsia" w:ascii="黑体" w:hAnsi="黑体" w:eastAsia="黑体" w:cs="宋体"/>
                <w:color w:val="000000"/>
                <w:kern w:val="0"/>
                <w:sz w:val="28"/>
                <w:szCs w:val="28"/>
                <w:lang w:bidi="ar"/>
              </w:rPr>
              <w:t>十四五投资（亿元）</w:t>
            </w:r>
          </w:p>
        </w:tc>
      </w:tr>
      <w:tr>
        <w:tblPrEx>
          <w:tblCellMar>
            <w:top w:w="0" w:type="dxa"/>
            <w:left w:w="108" w:type="dxa"/>
            <w:bottom w:w="0" w:type="dxa"/>
            <w:right w:w="108" w:type="dxa"/>
          </w:tblCellMar>
        </w:tblPrEx>
        <w:trPr>
          <w:trHeight w:val="270" w:hRule="atLeast"/>
        </w:trPr>
        <w:tc>
          <w:tcPr>
            <w:tcW w:w="1757" w:type="pct"/>
            <w:vMerge w:val="continue"/>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黑体" w:hAnsi="黑体" w:eastAsia="黑体" w:cs="宋体"/>
                <w:color w:val="000000"/>
                <w:kern w:val="0"/>
                <w:sz w:val="28"/>
                <w:szCs w:val="28"/>
                <w:lang w:bidi="ar"/>
              </w:rPr>
            </w:pPr>
          </w:p>
        </w:tc>
        <w:tc>
          <w:tcPr>
            <w:tcW w:w="471" w:type="pct"/>
            <w:vMerge w:val="continue"/>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黑体" w:hAnsi="黑体" w:eastAsia="黑体" w:cs="宋体"/>
                <w:color w:val="000000"/>
                <w:kern w:val="0"/>
                <w:sz w:val="28"/>
                <w:szCs w:val="28"/>
                <w:lang w:bidi="ar"/>
              </w:rPr>
            </w:pPr>
          </w:p>
        </w:tc>
        <w:tc>
          <w:tcPr>
            <w:tcW w:w="616"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黑体" w:hAnsi="黑体" w:eastAsia="黑体" w:cs="宋体"/>
                <w:color w:val="000000"/>
                <w:kern w:val="0"/>
                <w:sz w:val="28"/>
                <w:szCs w:val="28"/>
                <w:lang w:bidi="ar"/>
              </w:rPr>
            </w:pPr>
            <w:r>
              <w:rPr>
                <w:rFonts w:hint="eastAsia" w:ascii="黑体" w:hAnsi="黑体" w:eastAsia="黑体" w:cs="宋体"/>
                <w:color w:val="000000"/>
                <w:kern w:val="0"/>
                <w:sz w:val="28"/>
                <w:szCs w:val="28"/>
                <w:lang w:bidi="ar"/>
              </w:rPr>
              <w:t>投资</w:t>
            </w:r>
          </w:p>
        </w:tc>
        <w:tc>
          <w:tcPr>
            <w:tcW w:w="762"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黑体" w:hAnsi="黑体" w:eastAsia="黑体" w:cs="宋体"/>
                <w:color w:val="000000"/>
                <w:kern w:val="0"/>
                <w:sz w:val="28"/>
                <w:szCs w:val="28"/>
                <w:lang w:bidi="ar"/>
              </w:rPr>
            </w:pPr>
            <w:r>
              <w:rPr>
                <w:rFonts w:hint="eastAsia" w:ascii="黑体" w:hAnsi="黑体" w:eastAsia="黑体" w:cs="宋体"/>
                <w:color w:val="000000"/>
                <w:kern w:val="0"/>
                <w:sz w:val="28"/>
                <w:szCs w:val="28"/>
                <w:lang w:bidi="ar"/>
              </w:rPr>
              <w:t>占比（%）</w:t>
            </w:r>
          </w:p>
        </w:tc>
        <w:tc>
          <w:tcPr>
            <w:tcW w:w="561"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黑体" w:hAnsi="黑体" w:eastAsia="黑体" w:cs="宋体"/>
                <w:color w:val="000000"/>
                <w:kern w:val="0"/>
                <w:sz w:val="28"/>
                <w:szCs w:val="28"/>
                <w:lang w:bidi="ar"/>
              </w:rPr>
            </w:pPr>
            <w:r>
              <w:rPr>
                <w:rFonts w:hint="eastAsia" w:ascii="黑体" w:hAnsi="黑体" w:eastAsia="黑体" w:cs="宋体"/>
                <w:color w:val="000000"/>
                <w:kern w:val="0"/>
                <w:sz w:val="28"/>
                <w:szCs w:val="28"/>
                <w:lang w:bidi="ar"/>
              </w:rPr>
              <w:t>投资</w:t>
            </w:r>
          </w:p>
        </w:tc>
        <w:tc>
          <w:tcPr>
            <w:tcW w:w="833"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黑体" w:hAnsi="黑体" w:eastAsia="黑体" w:cs="宋体"/>
                <w:color w:val="000000"/>
                <w:kern w:val="0"/>
                <w:sz w:val="28"/>
                <w:szCs w:val="28"/>
                <w:lang w:bidi="ar"/>
              </w:rPr>
            </w:pPr>
            <w:r>
              <w:rPr>
                <w:rFonts w:hint="eastAsia" w:ascii="黑体" w:hAnsi="黑体" w:eastAsia="黑体" w:cs="宋体"/>
                <w:color w:val="000000"/>
                <w:kern w:val="0"/>
                <w:sz w:val="28"/>
                <w:szCs w:val="28"/>
                <w:lang w:bidi="ar"/>
              </w:rPr>
              <w:t>比例（%）</w:t>
            </w:r>
          </w:p>
        </w:tc>
      </w:tr>
      <w:tr>
        <w:tblPrEx>
          <w:tblCellMar>
            <w:top w:w="0" w:type="dxa"/>
            <w:left w:w="108" w:type="dxa"/>
            <w:bottom w:w="0" w:type="dxa"/>
            <w:right w:w="108" w:type="dxa"/>
          </w:tblCellMar>
        </w:tblPrEx>
        <w:trPr>
          <w:trHeight w:val="715" w:hRule="atLeast"/>
        </w:trPr>
        <w:tc>
          <w:tcPr>
            <w:tcW w:w="1757"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kern w:val="0"/>
                <w:sz w:val="28"/>
                <w:szCs w:val="28"/>
                <w:lang w:bidi="ar"/>
              </w:rPr>
            </w:pPr>
            <w:r>
              <w:rPr>
                <w:rFonts w:hint="eastAsia" w:ascii="Times New Roman" w:hAnsi="Times New Roman" w:eastAsia="仿宋_GB2312" w:cs="宋体"/>
                <w:color w:val="000000"/>
                <w:kern w:val="0"/>
                <w:sz w:val="28"/>
                <w:szCs w:val="28"/>
                <w:lang w:bidi="ar"/>
              </w:rPr>
              <w:t>保障供水安全建设</w:t>
            </w:r>
          </w:p>
        </w:tc>
        <w:tc>
          <w:tcPr>
            <w:tcW w:w="471"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kern w:val="0"/>
                <w:sz w:val="28"/>
                <w:szCs w:val="28"/>
                <w:lang w:bidi="ar"/>
              </w:rPr>
            </w:pPr>
            <w:r>
              <w:rPr>
                <w:rFonts w:hint="eastAsia" w:ascii="Times New Roman" w:hAnsi="Times New Roman" w:eastAsia="仿宋_GB2312" w:cs="宋体"/>
                <w:color w:val="000000"/>
                <w:kern w:val="0"/>
                <w:sz w:val="28"/>
                <w:szCs w:val="28"/>
                <w:lang w:bidi="ar"/>
              </w:rPr>
              <w:t>7</w:t>
            </w:r>
          </w:p>
        </w:tc>
        <w:tc>
          <w:tcPr>
            <w:tcW w:w="616"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kern w:val="0"/>
                <w:sz w:val="28"/>
                <w:szCs w:val="28"/>
                <w:lang w:bidi="ar"/>
              </w:rPr>
            </w:pPr>
            <w:r>
              <w:rPr>
                <w:rFonts w:hint="eastAsia" w:ascii="Times New Roman" w:hAnsi="Times New Roman" w:eastAsia="仿宋_GB2312" w:cs="宋体"/>
                <w:color w:val="000000"/>
                <w:kern w:val="0"/>
                <w:sz w:val="28"/>
                <w:szCs w:val="28"/>
                <w:lang w:bidi="ar"/>
              </w:rPr>
              <w:t xml:space="preserve">613.88 </w:t>
            </w:r>
          </w:p>
        </w:tc>
        <w:tc>
          <w:tcPr>
            <w:tcW w:w="762"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kern w:val="0"/>
                <w:sz w:val="28"/>
                <w:szCs w:val="28"/>
                <w:lang w:bidi="ar"/>
              </w:rPr>
            </w:pPr>
            <w:r>
              <w:rPr>
                <w:rFonts w:hint="eastAsia" w:ascii="Times New Roman" w:hAnsi="Times New Roman" w:eastAsia="仿宋_GB2312" w:cs="宋体"/>
                <w:color w:val="000000"/>
                <w:kern w:val="0"/>
                <w:sz w:val="28"/>
                <w:szCs w:val="28"/>
                <w:lang w:bidi="ar"/>
              </w:rPr>
              <w:t xml:space="preserve">84.51 </w:t>
            </w:r>
          </w:p>
        </w:tc>
        <w:tc>
          <w:tcPr>
            <w:tcW w:w="561"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kern w:val="0"/>
                <w:sz w:val="28"/>
                <w:szCs w:val="28"/>
                <w:lang w:bidi="ar"/>
              </w:rPr>
            </w:pPr>
            <w:r>
              <w:rPr>
                <w:rFonts w:hint="eastAsia" w:ascii="Times New Roman" w:hAnsi="Times New Roman" w:eastAsia="仿宋_GB2312" w:cs="宋体"/>
                <w:color w:val="000000"/>
                <w:kern w:val="0"/>
                <w:sz w:val="28"/>
                <w:szCs w:val="28"/>
                <w:lang w:bidi="ar"/>
              </w:rPr>
              <w:t xml:space="preserve">86.55 </w:t>
            </w:r>
          </w:p>
        </w:tc>
        <w:tc>
          <w:tcPr>
            <w:tcW w:w="833"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kern w:val="0"/>
                <w:sz w:val="28"/>
                <w:szCs w:val="28"/>
                <w:lang w:bidi="ar"/>
              </w:rPr>
            </w:pPr>
            <w:r>
              <w:rPr>
                <w:rFonts w:hint="eastAsia" w:ascii="Times New Roman" w:hAnsi="Times New Roman" w:eastAsia="仿宋_GB2312" w:cs="宋体"/>
                <w:color w:val="000000"/>
                <w:kern w:val="0"/>
                <w:sz w:val="28"/>
                <w:szCs w:val="28"/>
                <w:lang w:bidi="ar"/>
              </w:rPr>
              <w:t xml:space="preserve">73.58 </w:t>
            </w:r>
          </w:p>
        </w:tc>
      </w:tr>
      <w:tr>
        <w:tblPrEx>
          <w:tblCellMar>
            <w:top w:w="0" w:type="dxa"/>
            <w:left w:w="108" w:type="dxa"/>
            <w:bottom w:w="0" w:type="dxa"/>
            <w:right w:w="108" w:type="dxa"/>
          </w:tblCellMar>
        </w:tblPrEx>
        <w:trPr>
          <w:trHeight w:val="683" w:hRule="atLeast"/>
        </w:trPr>
        <w:tc>
          <w:tcPr>
            <w:tcW w:w="1757"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kern w:val="0"/>
                <w:sz w:val="28"/>
                <w:szCs w:val="28"/>
                <w:lang w:bidi="ar"/>
              </w:rPr>
            </w:pPr>
            <w:r>
              <w:rPr>
                <w:rFonts w:hint="eastAsia" w:ascii="Times New Roman" w:hAnsi="Times New Roman" w:eastAsia="仿宋_GB2312" w:cs="宋体"/>
                <w:color w:val="000000"/>
                <w:kern w:val="0"/>
                <w:sz w:val="28"/>
                <w:szCs w:val="28"/>
                <w:lang w:bidi="ar"/>
              </w:rPr>
              <w:t>防洪保障能力建设</w:t>
            </w:r>
          </w:p>
        </w:tc>
        <w:tc>
          <w:tcPr>
            <w:tcW w:w="471"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kern w:val="0"/>
                <w:sz w:val="28"/>
                <w:szCs w:val="28"/>
                <w:lang w:bidi="ar"/>
              </w:rPr>
            </w:pPr>
            <w:r>
              <w:rPr>
                <w:rFonts w:hint="eastAsia" w:ascii="Times New Roman" w:hAnsi="Times New Roman" w:eastAsia="仿宋_GB2312" w:cs="宋体"/>
                <w:color w:val="000000"/>
                <w:kern w:val="0"/>
                <w:sz w:val="28"/>
                <w:szCs w:val="28"/>
                <w:lang w:bidi="ar"/>
              </w:rPr>
              <w:t>24</w:t>
            </w:r>
          </w:p>
        </w:tc>
        <w:tc>
          <w:tcPr>
            <w:tcW w:w="616"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kern w:val="0"/>
                <w:sz w:val="28"/>
                <w:szCs w:val="28"/>
                <w:lang w:bidi="ar"/>
              </w:rPr>
            </w:pPr>
            <w:r>
              <w:rPr>
                <w:rFonts w:hint="eastAsia" w:ascii="Times New Roman" w:hAnsi="Times New Roman" w:eastAsia="仿宋_GB2312" w:cs="宋体"/>
                <w:color w:val="000000"/>
                <w:kern w:val="0"/>
                <w:sz w:val="28"/>
                <w:szCs w:val="28"/>
                <w:lang w:bidi="ar"/>
              </w:rPr>
              <w:t xml:space="preserve">10.96 </w:t>
            </w:r>
          </w:p>
        </w:tc>
        <w:tc>
          <w:tcPr>
            <w:tcW w:w="762"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kern w:val="0"/>
                <w:sz w:val="28"/>
                <w:szCs w:val="28"/>
                <w:lang w:bidi="ar"/>
              </w:rPr>
            </w:pPr>
            <w:r>
              <w:rPr>
                <w:rFonts w:hint="eastAsia" w:ascii="Times New Roman" w:hAnsi="Times New Roman" w:eastAsia="仿宋_GB2312" w:cs="宋体"/>
                <w:color w:val="000000"/>
                <w:kern w:val="0"/>
                <w:sz w:val="28"/>
                <w:szCs w:val="28"/>
                <w:lang w:bidi="ar"/>
              </w:rPr>
              <w:t xml:space="preserve">1.51 </w:t>
            </w:r>
          </w:p>
        </w:tc>
        <w:tc>
          <w:tcPr>
            <w:tcW w:w="561"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kern w:val="0"/>
                <w:sz w:val="28"/>
                <w:szCs w:val="28"/>
                <w:lang w:bidi="ar"/>
              </w:rPr>
            </w:pPr>
            <w:r>
              <w:rPr>
                <w:rFonts w:hint="eastAsia" w:ascii="Times New Roman" w:hAnsi="Times New Roman" w:eastAsia="仿宋_GB2312" w:cs="宋体"/>
                <w:color w:val="000000"/>
                <w:kern w:val="0"/>
                <w:sz w:val="28"/>
                <w:szCs w:val="28"/>
                <w:lang w:bidi="ar"/>
              </w:rPr>
              <w:t xml:space="preserve">10.96 </w:t>
            </w:r>
          </w:p>
        </w:tc>
        <w:tc>
          <w:tcPr>
            <w:tcW w:w="833"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kern w:val="0"/>
                <w:sz w:val="28"/>
                <w:szCs w:val="28"/>
                <w:lang w:bidi="ar"/>
              </w:rPr>
            </w:pPr>
            <w:r>
              <w:rPr>
                <w:rFonts w:hint="eastAsia" w:ascii="Times New Roman" w:hAnsi="Times New Roman" w:eastAsia="仿宋_GB2312" w:cs="宋体"/>
                <w:color w:val="000000"/>
                <w:kern w:val="0"/>
                <w:sz w:val="28"/>
                <w:szCs w:val="28"/>
                <w:lang w:bidi="ar"/>
              </w:rPr>
              <w:t xml:space="preserve">9.32 </w:t>
            </w:r>
          </w:p>
        </w:tc>
      </w:tr>
      <w:tr>
        <w:tblPrEx>
          <w:tblCellMar>
            <w:top w:w="0" w:type="dxa"/>
            <w:left w:w="108" w:type="dxa"/>
            <w:bottom w:w="0" w:type="dxa"/>
            <w:right w:w="108" w:type="dxa"/>
          </w:tblCellMar>
        </w:tblPrEx>
        <w:trPr>
          <w:trHeight w:val="707" w:hRule="atLeast"/>
        </w:trPr>
        <w:tc>
          <w:tcPr>
            <w:tcW w:w="1757"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kern w:val="0"/>
                <w:sz w:val="28"/>
                <w:szCs w:val="28"/>
                <w:lang w:bidi="ar"/>
              </w:rPr>
            </w:pPr>
            <w:r>
              <w:rPr>
                <w:rFonts w:hint="eastAsia" w:ascii="Times New Roman" w:hAnsi="Times New Roman" w:eastAsia="仿宋_GB2312" w:cs="宋体"/>
                <w:color w:val="000000"/>
                <w:kern w:val="0"/>
                <w:sz w:val="28"/>
                <w:szCs w:val="28"/>
                <w:lang w:bidi="ar"/>
              </w:rPr>
              <w:t>水生态环境保障能力建设</w:t>
            </w:r>
          </w:p>
        </w:tc>
        <w:tc>
          <w:tcPr>
            <w:tcW w:w="471"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kern w:val="0"/>
                <w:sz w:val="28"/>
                <w:szCs w:val="28"/>
                <w:lang w:bidi="ar"/>
              </w:rPr>
            </w:pPr>
            <w:r>
              <w:rPr>
                <w:rFonts w:hint="eastAsia" w:ascii="Times New Roman" w:hAnsi="Times New Roman" w:eastAsia="仿宋_GB2312" w:cs="宋体"/>
                <w:color w:val="000000"/>
                <w:kern w:val="0"/>
                <w:sz w:val="28"/>
                <w:szCs w:val="28"/>
                <w:lang w:bidi="ar"/>
              </w:rPr>
              <w:t>6</w:t>
            </w:r>
          </w:p>
        </w:tc>
        <w:tc>
          <w:tcPr>
            <w:tcW w:w="616"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kern w:val="0"/>
                <w:sz w:val="28"/>
                <w:szCs w:val="28"/>
                <w:lang w:bidi="ar"/>
              </w:rPr>
            </w:pPr>
            <w:r>
              <w:rPr>
                <w:rFonts w:hint="eastAsia" w:ascii="Times New Roman" w:hAnsi="Times New Roman" w:eastAsia="仿宋_GB2312" w:cs="宋体"/>
                <w:color w:val="000000"/>
                <w:kern w:val="0"/>
                <w:sz w:val="28"/>
                <w:szCs w:val="28"/>
                <w:lang w:bidi="ar"/>
              </w:rPr>
              <w:t xml:space="preserve">100.20 </w:t>
            </w:r>
          </w:p>
        </w:tc>
        <w:tc>
          <w:tcPr>
            <w:tcW w:w="762"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kern w:val="0"/>
                <w:sz w:val="28"/>
                <w:szCs w:val="28"/>
                <w:lang w:bidi="ar"/>
              </w:rPr>
            </w:pPr>
            <w:r>
              <w:rPr>
                <w:rFonts w:hint="eastAsia" w:ascii="Times New Roman" w:hAnsi="Times New Roman" w:eastAsia="仿宋_GB2312" w:cs="宋体"/>
                <w:color w:val="000000"/>
                <w:kern w:val="0"/>
                <w:sz w:val="28"/>
                <w:szCs w:val="28"/>
                <w:lang w:bidi="ar"/>
              </w:rPr>
              <w:t xml:space="preserve">13.79 </w:t>
            </w:r>
          </w:p>
        </w:tc>
        <w:tc>
          <w:tcPr>
            <w:tcW w:w="561"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kern w:val="0"/>
                <w:sz w:val="28"/>
                <w:szCs w:val="28"/>
                <w:lang w:bidi="ar"/>
              </w:rPr>
            </w:pPr>
            <w:r>
              <w:rPr>
                <w:rFonts w:hint="eastAsia" w:ascii="Times New Roman" w:hAnsi="Times New Roman" w:eastAsia="仿宋_GB2312" w:cs="宋体"/>
                <w:color w:val="000000"/>
                <w:kern w:val="0"/>
                <w:sz w:val="28"/>
                <w:szCs w:val="28"/>
                <w:lang w:bidi="ar"/>
              </w:rPr>
              <w:t xml:space="preserve">18.77 </w:t>
            </w:r>
          </w:p>
        </w:tc>
        <w:tc>
          <w:tcPr>
            <w:tcW w:w="833"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kern w:val="0"/>
                <w:sz w:val="28"/>
                <w:szCs w:val="28"/>
                <w:lang w:bidi="ar"/>
              </w:rPr>
            </w:pPr>
            <w:r>
              <w:rPr>
                <w:rFonts w:hint="eastAsia" w:ascii="Times New Roman" w:hAnsi="Times New Roman" w:eastAsia="仿宋_GB2312" w:cs="宋体"/>
                <w:color w:val="000000"/>
                <w:kern w:val="0"/>
                <w:sz w:val="28"/>
                <w:szCs w:val="28"/>
                <w:lang w:bidi="ar"/>
              </w:rPr>
              <w:t xml:space="preserve">15.96 </w:t>
            </w:r>
          </w:p>
        </w:tc>
      </w:tr>
      <w:tr>
        <w:tblPrEx>
          <w:tblCellMar>
            <w:top w:w="0" w:type="dxa"/>
            <w:left w:w="108" w:type="dxa"/>
            <w:bottom w:w="0" w:type="dxa"/>
            <w:right w:w="108" w:type="dxa"/>
          </w:tblCellMar>
        </w:tblPrEx>
        <w:trPr>
          <w:trHeight w:val="831" w:hRule="atLeast"/>
        </w:trPr>
        <w:tc>
          <w:tcPr>
            <w:tcW w:w="1757"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kern w:val="0"/>
                <w:sz w:val="28"/>
                <w:szCs w:val="28"/>
                <w:lang w:bidi="ar"/>
              </w:rPr>
            </w:pPr>
            <w:r>
              <w:rPr>
                <w:rFonts w:hint="eastAsia" w:ascii="Times New Roman" w:hAnsi="Times New Roman" w:eastAsia="仿宋_GB2312" w:cs="宋体"/>
                <w:color w:val="000000"/>
                <w:kern w:val="0"/>
                <w:sz w:val="28"/>
                <w:szCs w:val="28"/>
                <w:lang w:bidi="ar"/>
              </w:rPr>
              <w:t>信息化建设</w:t>
            </w:r>
          </w:p>
        </w:tc>
        <w:tc>
          <w:tcPr>
            <w:tcW w:w="471"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kern w:val="0"/>
                <w:sz w:val="28"/>
                <w:szCs w:val="28"/>
                <w:lang w:bidi="ar"/>
              </w:rPr>
            </w:pPr>
            <w:r>
              <w:rPr>
                <w:rFonts w:hint="eastAsia" w:ascii="Times New Roman" w:hAnsi="Times New Roman" w:eastAsia="仿宋_GB2312" w:cs="宋体"/>
                <w:color w:val="000000"/>
                <w:kern w:val="0"/>
                <w:sz w:val="28"/>
                <w:szCs w:val="28"/>
                <w:lang w:bidi="ar"/>
              </w:rPr>
              <w:t>13</w:t>
            </w:r>
          </w:p>
        </w:tc>
        <w:tc>
          <w:tcPr>
            <w:tcW w:w="616"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kern w:val="0"/>
                <w:sz w:val="28"/>
                <w:szCs w:val="28"/>
                <w:lang w:bidi="ar"/>
              </w:rPr>
            </w:pPr>
            <w:r>
              <w:rPr>
                <w:rFonts w:hint="eastAsia" w:ascii="Times New Roman" w:hAnsi="Times New Roman" w:eastAsia="仿宋_GB2312" w:cs="宋体"/>
                <w:color w:val="000000"/>
                <w:kern w:val="0"/>
                <w:sz w:val="28"/>
                <w:szCs w:val="28"/>
                <w:lang w:bidi="ar"/>
              </w:rPr>
              <w:t xml:space="preserve">1.36 </w:t>
            </w:r>
          </w:p>
        </w:tc>
        <w:tc>
          <w:tcPr>
            <w:tcW w:w="762"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kern w:val="0"/>
                <w:sz w:val="28"/>
                <w:szCs w:val="28"/>
                <w:lang w:bidi="ar"/>
              </w:rPr>
            </w:pPr>
            <w:r>
              <w:rPr>
                <w:rFonts w:hint="eastAsia" w:ascii="Times New Roman" w:hAnsi="Times New Roman" w:eastAsia="仿宋_GB2312" w:cs="宋体"/>
                <w:color w:val="000000"/>
                <w:kern w:val="0"/>
                <w:sz w:val="28"/>
                <w:szCs w:val="28"/>
                <w:lang w:bidi="ar"/>
              </w:rPr>
              <w:t xml:space="preserve">0.19 </w:t>
            </w:r>
          </w:p>
        </w:tc>
        <w:tc>
          <w:tcPr>
            <w:tcW w:w="561"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kern w:val="0"/>
                <w:sz w:val="28"/>
                <w:szCs w:val="28"/>
                <w:lang w:bidi="ar"/>
              </w:rPr>
            </w:pPr>
            <w:r>
              <w:rPr>
                <w:rFonts w:hint="eastAsia" w:ascii="Times New Roman" w:hAnsi="Times New Roman" w:eastAsia="仿宋_GB2312" w:cs="宋体"/>
                <w:color w:val="000000"/>
                <w:kern w:val="0"/>
                <w:sz w:val="28"/>
                <w:szCs w:val="28"/>
                <w:lang w:bidi="ar"/>
              </w:rPr>
              <w:t xml:space="preserve">1.36 </w:t>
            </w:r>
          </w:p>
        </w:tc>
        <w:tc>
          <w:tcPr>
            <w:tcW w:w="833"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kern w:val="0"/>
                <w:sz w:val="28"/>
                <w:szCs w:val="28"/>
                <w:lang w:bidi="ar"/>
              </w:rPr>
            </w:pPr>
            <w:r>
              <w:rPr>
                <w:rFonts w:hint="eastAsia" w:ascii="Times New Roman" w:hAnsi="Times New Roman" w:eastAsia="仿宋_GB2312" w:cs="宋体"/>
                <w:color w:val="000000"/>
                <w:kern w:val="0"/>
                <w:sz w:val="28"/>
                <w:szCs w:val="28"/>
                <w:lang w:bidi="ar"/>
              </w:rPr>
              <w:t xml:space="preserve">1.15 </w:t>
            </w:r>
          </w:p>
        </w:tc>
      </w:tr>
      <w:tr>
        <w:tblPrEx>
          <w:tblCellMar>
            <w:top w:w="0" w:type="dxa"/>
            <w:left w:w="108" w:type="dxa"/>
            <w:bottom w:w="0" w:type="dxa"/>
            <w:right w:w="108" w:type="dxa"/>
          </w:tblCellMar>
        </w:tblPrEx>
        <w:trPr>
          <w:trHeight w:val="843" w:hRule="atLeast"/>
        </w:trPr>
        <w:tc>
          <w:tcPr>
            <w:tcW w:w="1757"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kern w:val="0"/>
                <w:sz w:val="28"/>
                <w:szCs w:val="28"/>
                <w:lang w:bidi="ar"/>
              </w:rPr>
            </w:pPr>
            <w:r>
              <w:rPr>
                <w:rFonts w:hint="eastAsia" w:ascii="Times New Roman" w:hAnsi="Times New Roman" w:eastAsia="仿宋_GB2312" w:cs="宋体"/>
                <w:color w:val="000000"/>
                <w:kern w:val="0"/>
                <w:sz w:val="28"/>
                <w:szCs w:val="28"/>
                <w:lang w:bidi="ar"/>
              </w:rPr>
              <w:t>合计</w:t>
            </w:r>
          </w:p>
        </w:tc>
        <w:tc>
          <w:tcPr>
            <w:tcW w:w="471"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kern w:val="0"/>
                <w:sz w:val="28"/>
                <w:szCs w:val="28"/>
                <w:lang w:bidi="ar"/>
              </w:rPr>
            </w:pPr>
            <w:r>
              <w:rPr>
                <w:rFonts w:hint="eastAsia" w:ascii="Times New Roman" w:hAnsi="Times New Roman" w:eastAsia="仿宋_GB2312" w:cs="宋体"/>
                <w:color w:val="000000"/>
                <w:kern w:val="0"/>
                <w:sz w:val="28"/>
                <w:szCs w:val="28"/>
                <w:lang w:bidi="ar"/>
              </w:rPr>
              <w:t>50</w:t>
            </w:r>
          </w:p>
        </w:tc>
        <w:tc>
          <w:tcPr>
            <w:tcW w:w="616"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kern w:val="0"/>
                <w:sz w:val="28"/>
                <w:szCs w:val="28"/>
                <w:lang w:bidi="ar"/>
              </w:rPr>
            </w:pPr>
            <w:r>
              <w:rPr>
                <w:rFonts w:hint="eastAsia" w:ascii="Times New Roman" w:hAnsi="Times New Roman" w:eastAsia="仿宋_GB2312" w:cs="宋体"/>
                <w:color w:val="000000"/>
                <w:kern w:val="0"/>
                <w:sz w:val="28"/>
                <w:szCs w:val="28"/>
                <w:lang w:bidi="ar"/>
              </w:rPr>
              <w:t xml:space="preserve">726.40 </w:t>
            </w:r>
          </w:p>
        </w:tc>
        <w:tc>
          <w:tcPr>
            <w:tcW w:w="762"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kern w:val="0"/>
                <w:sz w:val="28"/>
                <w:szCs w:val="28"/>
                <w:lang w:bidi="ar"/>
              </w:rPr>
            </w:pPr>
            <w:r>
              <w:rPr>
                <w:rFonts w:hint="eastAsia" w:ascii="Times New Roman" w:hAnsi="Times New Roman" w:eastAsia="仿宋_GB2312" w:cs="宋体"/>
                <w:color w:val="000000"/>
                <w:kern w:val="0"/>
                <w:sz w:val="28"/>
                <w:szCs w:val="28"/>
                <w:lang w:bidi="ar"/>
              </w:rPr>
              <w:t xml:space="preserve">100 </w:t>
            </w:r>
          </w:p>
        </w:tc>
        <w:tc>
          <w:tcPr>
            <w:tcW w:w="561"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kern w:val="0"/>
                <w:sz w:val="28"/>
                <w:szCs w:val="28"/>
                <w:lang w:bidi="ar"/>
              </w:rPr>
            </w:pPr>
            <w:r>
              <w:rPr>
                <w:rFonts w:hint="eastAsia" w:ascii="Times New Roman" w:hAnsi="Times New Roman" w:eastAsia="仿宋_GB2312" w:cs="宋体"/>
                <w:color w:val="000000"/>
                <w:kern w:val="0"/>
                <w:sz w:val="28"/>
                <w:szCs w:val="28"/>
                <w:lang w:bidi="ar"/>
              </w:rPr>
              <w:t xml:space="preserve">117.64 </w:t>
            </w:r>
          </w:p>
        </w:tc>
        <w:tc>
          <w:tcPr>
            <w:tcW w:w="833" w:type="pct"/>
            <w:tcBorders>
              <w:top w:val="single" w:color="000000" w:sz="4" w:space="0"/>
              <w:left w:val="single" w:color="000000" w:sz="4" w:space="0"/>
              <w:bottom w:val="single" w:color="000000" w:sz="4" w:space="0"/>
              <w:right w:val="single" w:color="000000" w:sz="4" w:space="0"/>
            </w:tcBorders>
            <w:noWrap/>
            <w:vAlign w:val="center"/>
          </w:tcPr>
          <w:p>
            <w:pPr>
              <w:widowControl/>
              <w:spacing w:line="540" w:lineRule="exact"/>
              <w:jc w:val="center"/>
              <w:textAlignment w:val="center"/>
              <w:rPr>
                <w:rFonts w:hint="eastAsia" w:ascii="Times New Roman" w:hAnsi="Times New Roman" w:eastAsia="仿宋_GB2312" w:cs="宋体"/>
                <w:color w:val="000000"/>
                <w:kern w:val="0"/>
                <w:sz w:val="28"/>
                <w:szCs w:val="28"/>
                <w:lang w:bidi="ar"/>
              </w:rPr>
            </w:pPr>
            <w:r>
              <w:rPr>
                <w:rFonts w:hint="eastAsia" w:ascii="Times New Roman" w:hAnsi="Times New Roman" w:eastAsia="仿宋_GB2312" w:cs="宋体"/>
                <w:color w:val="000000"/>
                <w:kern w:val="0"/>
                <w:sz w:val="28"/>
                <w:szCs w:val="28"/>
                <w:lang w:bidi="ar"/>
              </w:rPr>
              <w:t xml:space="preserve">100 </w:t>
            </w:r>
          </w:p>
        </w:tc>
      </w:tr>
    </w:tbl>
    <w:p>
      <w:pPr>
        <w:spacing w:line="240" w:lineRule="atLeast"/>
        <w:jc w:val="center"/>
        <w:rPr>
          <w:rFonts w:ascii="Times New Roman" w:hAnsi="Times New Roman"/>
        </w:rPr>
      </w:pPr>
    </w:p>
    <w:p>
      <w:pPr>
        <w:spacing w:line="360" w:lineRule="auto"/>
        <w:ind w:firstLine="640" w:firstLineChars="200"/>
        <w:rPr>
          <w:rFonts w:hint="eastAsia" w:ascii="Times New Roman" w:hAnsi="Times New Roman"/>
        </w:rPr>
      </w:pPr>
      <w:r>
        <w:rPr>
          <w:rFonts w:ascii="Times New Roman" w:hAnsi="Times New Roman" w:eastAsia="仿宋_GB2312"/>
          <w:sz w:val="32"/>
          <w:szCs w:val="32"/>
        </w:rPr>
        <w:t xml:space="preserve"> </w:t>
      </w:r>
      <w:r>
        <w:rPr>
          <w:rFonts w:ascii="Times New Roman" w:hAnsi="Times New Roman"/>
          <w:lang w:bidi="mn-Mong-CN"/>
        </w:rPr>
        <w:drawing>
          <wp:inline distT="0" distB="0" distL="0" distR="0">
            <wp:extent cx="4591050" cy="2762250"/>
            <wp:effectExtent l="0" t="0" r="0" b="0"/>
            <wp:docPr id="1"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true" noChangeArrowheads="true"/>
                    </pic:cNvPicPr>
                  </pic:nvPicPr>
                  <pic:blipFill>
                    <a:blip r:embed="rId7">
                      <a:extLst>
                        <a:ext uri="{28A0092B-C50C-407E-A947-70E740481C1C}">
                          <a14:useLocalDpi xmlns:a14="http://schemas.microsoft.com/office/drawing/2010/main" val="false"/>
                        </a:ext>
                      </a:extLst>
                    </a:blip>
                    <a:srcRect/>
                    <a:stretch>
                      <a:fillRect/>
                    </a:stretch>
                  </pic:blipFill>
                  <pic:spPr>
                    <a:xfrm>
                      <a:off x="0" y="0"/>
                      <a:ext cx="4591050" cy="2762250"/>
                    </a:xfrm>
                    <a:prstGeom prst="rect">
                      <a:avLst/>
                    </a:prstGeom>
                    <a:noFill/>
                    <a:ln>
                      <a:noFill/>
                    </a:ln>
                  </pic:spPr>
                </pic:pic>
              </a:graphicData>
            </a:graphic>
          </wp:inline>
        </w:drawing>
      </w:r>
    </w:p>
    <w:p>
      <w:pPr>
        <w:spacing w:line="360" w:lineRule="auto"/>
        <w:ind w:firstLine="640" w:firstLineChars="200"/>
        <w:rPr>
          <w:rFonts w:ascii="Times New Roman" w:hAnsi="Times New Roman" w:eastAsia="仿宋_GB2312"/>
          <w:sz w:val="32"/>
          <w:szCs w:val="32"/>
        </w:rPr>
      </w:pP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十四五”期间，规划项目投资资金主要以国家资金为主，结合近年来国家投资重点方向、领域和政策标准，同时坚持综合施策、因地制宜、创新机制等原则，创新融资模式、整合相关渠道资金，多渠道筹措资金，资金来源包括地方自筹、中央补助资金，引入金融及社会资金等。</w:t>
      </w:r>
    </w:p>
    <w:p>
      <w:pPr>
        <w:spacing w:line="560" w:lineRule="exact"/>
        <w:ind w:firstLine="640" w:firstLineChars="200"/>
        <w:rPr>
          <w:rFonts w:hint="eastAsia" w:ascii="Times New Roman" w:hAnsi="Times New Roman" w:eastAsia="黑体"/>
          <w:sz w:val="32"/>
          <w:szCs w:val="32"/>
        </w:rPr>
      </w:pPr>
      <w:r>
        <w:rPr>
          <w:rFonts w:hint="eastAsia" w:ascii="Times New Roman" w:hAnsi="Times New Roman" w:eastAsia="黑体"/>
          <w:sz w:val="32"/>
          <w:szCs w:val="32"/>
        </w:rPr>
        <w:t>七、保障措施</w:t>
      </w:r>
    </w:p>
    <w:p>
      <w:pPr>
        <w:spacing w:line="560" w:lineRule="exact"/>
        <w:ind w:firstLine="640" w:firstLineChars="200"/>
        <w:rPr>
          <w:rFonts w:hint="eastAsia" w:ascii="Times New Roman" w:hAnsi="Times New Roman" w:eastAsia="楷体_GB2312"/>
          <w:sz w:val="32"/>
          <w:szCs w:val="32"/>
        </w:rPr>
      </w:pPr>
      <w:r>
        <w:rPr>
          <w:rFonts w:hint="eastAsia" w:ascii="Times New Roman" w:hAnsi="Times New Roman" w:eastAsia="楷体_GB2312"/>
          <w:sz w:val="32"/>
          <w:szCs w:val="32"/>
        </w:rPr>
        <w:t>（一）强化党的领导</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加强党的全面领导，坚持不懈用习近平新时代中国特色社会主义思想武装头脑、指导实践、推动工作，引导广大党员干部筑牢理想信念之基，不忘初心，牢记使命，把党的领导贯穿到规划实施的全过程，保障社会主要现代化城市水安全。各级领导班子要积极发挥牵头作用，与其他部门加强沟通协调联动、担当作为、齐抓共管，运用多种手段，形成水安全保障工作合力，协同推进规划实施。</w:t>
      </w:r>
    </w:p>
    <w:p>
      <w:pPr>
        <w:spacing w:line="560" w:lineRule="exact"/>
        <w:ind w:firstLine="640" w:firstLineChars="200"/>
        <w:rPr>
          <w:rFonts w:hint="eastAsia" w:ascii="Times New Roman" w:hAnsi="Times New Roman" w:eastAsia="楷体_GB2312"/>
          <w:sz w:val="32"/>
          <w:szCs w:val="32"/>
        </w:rPr>
      </w:pPr>
      <w:r>
        <w:rPr>
          <w:rFonts w:hint="eastAsia" w:ascii="Times New Roman" w:hAnsi="Times New Roman" w:eastAsia="楷体_GB2312"/>
          <w:sz w:val="32"/>
          <w:szCs w:val="32"/>
        </w:rPr>
        <w:t>（二）强化人才保障</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创新人才培养机制，加大高层次创新人才培养力度，着力培养水资源、水工程、信息化等方面的技术人员，大力开展人才创新队伍建设，积极探索激励保障措施，鼓励科技人员深入开展节水、水污染防治、信息化等研究和服务。</w:t>
      </w:r>
    </w:p>
    <w:p>
      <w:pPr>
        <w:spacing w:line="560" w:lineRule="exact"/>
        <w:ind w:firstLine="640" w:firstLineChars="200"/>
        <w:rPr>
          <w:rFonts w:hint="eastAsia" w:ascii="Times New Roman" w:hAnsi="Times New Roman" w:eastAsia="楷体_GB2312"/>
          <w:sz w:val="32"/>
          <w:szCs w:val="32"/>
        </w:rPr>
      </w:pPr>
      <w:r>
        <w:rPr>
          <w:rFonts w:hint="eastAsia" w:ascii="Times New Roman" w:hAnsi="Times New Roman" w:eastAsia="楷体_GB2312"/>
          <w:sz w:val="32"/>
          <w:szCs w:val="32"/>
        </w:rPr>
        <w:t>（三）强化社会监督</w:t>
      </w:r>
    </w:p>
    <w:p>
      <w:pPr>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推进政务公开，加强行政监督，提高工作透明度和公众参与度，建立健全重大涉水突发性时间的社会预警和社会动员机制，增强全社会应对水危险和风险的能力。加大宣传力度，提高全社会水资源节约、保护意识，为水安全保障营造良好的社会环境。</w:t>
      </w:r>
    </w:p>
    <w:p>
      <w:pPr>
        <w:spacing w:line="560" w:lineRule="exact"/>
        <w:ind w:firstLine="640" w:firstLineChars="200"/>
        <w:rPr>
          <w:rFonts w:hint="eastAsia" w:ascii="Times New Roman" w:hAnsi="Times New Roman" w:eastAsia="仿宋_GB2312"/>
          <w:sz w:val="32"/>
          <w:szCs w:val="32"/>
        </w:rPr>
      </w:pPr>
    </w:p>
    <w:p>
      <w:pPr>
        <w:ind w:firstLine="600"/>
        <w:rPr>
          <w:rFonts w:eastAsia="仿宋_GB2312"/>
          <w:sz w:val="32"/>
        </w:rPr>
      </w:pPr>
    </w:p>
    <w:p>
      <w:pPr>
        <w:pStyle w:val="4"/>
        <w:tabs>
          <w:tab w:val="left" w:pos="7560"/>
        </w:tabs>
        <w:ind w:left="0" w:leftChars="0"/>
        <w:jc w:val="left"/>
        <w:rPr>
          <w:rFonts w:hint="eastAsia" w:ascii="黑体" w:eastAsia="黑体"/>
          <w:lang w:eastAsia="zh-CN"/>
        </w:rPr>
      </w:pPr>
    </w:p>
    <w:p>
      <w:pPr>
        <w:rPr>
          <w:rFonts w:hint="eastAsia"/>
          <w:lang w:val="zh-CN"/>
        </w:rPr>
      </w:pPr>
    </w:p>
    <w:p>
      <w:pPr>
        <w:rPr>
          <w:rFonts w:hint="eastAsia"/>
          <w:lang w:val="zh-CN"/>
        </w:rPr>
      </w:pPr>
    </w:p>
    <w:p>
      <w:pPr>
        <w:rPr>
          <w:rFonts w:hint="eastAsia"/>
          <w:lang w:val="zh-CN"/>
        </w:rPr>
      </w:pPr>
    </w:p>
    <w:p>
      <w:pPr>
        <w:rPr>
          <w:rFonts w:hint="eastAsia"/>
          <w:lang w:val="zh-CN"/>
        </w:rPr>
      </w:pPr>
    </w:p>
    <w:p>
      <w:pPr>
        <w:rPr>
          <w:rFonts w:hint="eastAsia"/>
          <w:lang w:val="zh-CN"/>
        </w:rPr>
      </w:pPr>
    </w:p>
    <w:p>
      <w:pPr>
        <w:rPr>
          <w:rFonts w:hint="eastAsia"/>
          <w:lang w:val="zh-CN"/>
        </w:rPr>
      </w:pPr>
    </w:p>
    <w:p>
      <w:pPr>
        <w:rPr>
          <w:rFonts w:hint="eastAsia"/>
          <w:lang w:val="zh-CN"/>
        </w:rPr>
      </w:pPr>
    </w:p>
    <w:p>
      <w:pPr>
        <w:rPr>
          <w:rFonts w:hint="eastAsia"/>
          <w:lang w:val="zh-CN"/>
        </w:rPr>
      </w:pPr>
    </w:p>
    <w:p>
      <w:pPr>
        <w:rPr>
          <w:rFonts w:hint="eastAsia"/>
          <w:lang w:val="zh-CN"/>
        </w:rPr>
      </w:pPr>
    </w:p>
    <w:p>
      <w:pPr>
        <w:rPr>
          <w:rFonts w:hint="eastAsia"/>
          <w:lang w:val="zh-CN"/>
        </w:rPr>
      </w:pPr>
    </w:p>
    <w:p>
      <w:pPr>
        <w:rPr>
          <w:rFonts w:hint="eastAsia"/>
          <w:lang w:val="zh-CN"/>
        </w:rPr>
      </w:pPr>
    </w:p>
    <w:p>
      <w:pPr>
        <w:rPr>
          <w:rFonts w:hint="eastAsia"/>
          <w:lang w:val="zh-CN"/>
        </w:rPr>
      </w:pPr>
    </w:p>
    <w:p>
      <w:pPr>
        <w:rPr>
          <w:rFonts w:hint="eastAsia"/>
          <w:lang w:val="zh-CN"/>
        </w:rPr>
      </w:pPr>
    </w:p>
    <w:p>
      <w:pPr>
        <w:rPr>
          <w:rFonts w:hint="eastAsia"/>
          <w:lang w:val="zh-CN"/>
        </w:rPr>
      </w:pPr>
    </w:p>
    <w:p>
      <w:pPr>
        <w:rPr>
          <w:rFonts w:hint="eastAsia"/>
          <w:lang w:val="zh-CN"/>
        </w:rPr>
      </w:pPr>
    </w:p>
    <w:p>
      <w:pPr>
        <w:rPr>
          <w:rFonts w:hint="eastAsia"/>
          <w:lang w:val="zh-CN"/>
        </w:rPr>
      </w:pPr>
    </w:p>
    <w:p>
      <w:pPr>
        <w:rPr>
          <w:rFonts w:hint="eastAsia"/>
          <w:lang w:val="zh-CN"/>
        </w:rPr>
      </w:pPr>
    </w:p>
    <w:p>
      <w:pPr>
        <w:rPr>
          <w:rFonts w:hint="eastAsia"/>
          <w:lang w:val="zh-CN"/>
        </w:rPr>
      </w:pPr>
    </w:p>
    <w:p>
      <w:pPr>
        <w:rPr>
          <w:rFonts w:hint="eastAsia"/>
          <w:lang w:val="zh-CN"/>
        </w:rPr>
      </w:pPr>
    </w:p>
    <w:p>
      <w:pPr>
        <w:rPr>
          <w:rFonts w:hint="eastAsia"/>
          <w:lang w:val="zh-CN"/>
        </w:rPr>
      </w:pPr>
    </w:p>
    <w:p>
      <w:pPr>
        <w:rPr>
          <w:rFonts w:hint="eastAsia"/>
          <w:lang w:val="zh-CN"/>
        </w:rPr>
      </w:pPr>
    </w:p>
    <w:p>
      <w:pPr>
        <w:rPr>
          <w:rFonts w:hint="eastAsia"/>
          <w:lang w:val="zh-CN"/>
        </w:rPr>
      </w:pPr>
    </w:p>
    <w:p>
      <w:pPr>
        <w:rPr>
          <w:rFonts w:hint="eastAsia"/>
          <w:lang w:val="zh-CN"/>
        </w:rPr>
      </w:pPr>
    </w:p>
    <w:p>
      <w:pPr>
        <w:rPr>
          <w:rFonts w:hint="eastAsia"/>
          <w:lang w:val="zh-CN"/>
        </w:rPr>
      </w:pPr>
    </w:p>
    <w:p>
      <w:pPr>
        <w:rPr>
          <w:rFonts w:hint="eastAsia"/>
          <w:lang w:val="zh-CN"/>
        </w:rPr>
      </w:pPr>
    </w:p>
    <w:p>
      <w:pPr>
        <w:rPr>
          <w:rFonts w:hint="eastAsia"/>
          <w:lang w:val="zh-CN"/>
        </w:rPr>
      </w:pPr>
    </w:p>
    <w:p>
      <w:pPr>
        <w:rPr>
          <w:rFonts w:hint="eastAsia"/>
          <w:lang w:val="zh-CN"/>
        </w:rPr>
      </w:pPr>
    </w:p>
    <w:p>
      <w:pPr>
        <w:rPr>
          <w:rFonts w:hint="eastAsia"/>
          <w:lang w:val="zh-CN"/>
        </w:rPr>
      </w:pPr>
    </w:p>
    <w:p>
      <w:pPr>
        <w:rPr>
          <w:rFonts w:hint="eastAsia"/>
          <w:lang w:val="zh-CN"/>
        </w:rPr>
      </w:pPr>
    </w:p>
    <w:p>
      <w:pPr>
        <w:rPr>
          <w:rFonts w:hint="eastAsia"/>
          <w:lang w:val="zh-CN"/>
        </w:rPr>
      </w:pPr>
    </w:p>
    <w:p>
      <w:pPr>
        <w:rPr>
          <w:rFonts w:hint="eastAsia"/>
          <w:lang w:val="zh-CN"/>
        </w:rPr>
      </w:pPr>
    </w:p>
    <w:p>
      <w:pPr>
        <w:rPr>
          <w:rFonts w:hint="eastAsia"/>
          <w:lang w:val="zh-CN"/>
        </w:rPr>
      </w:pPr>
    </w:p>
    <w:p>
      <w:pPr>
        <w:rPr>
          <w:rFonts w:hint="eastAsia"/>
          <w:lang w:val="zh-CN"/>
        </w:rPr>
      </w:pPr>
    </w:p>
    <w:p>
      <w:pPr>
        <w:rPr>
          <w:rFonts w:hint="eastAsia"/>
          <w:lang w:val="zh-CN"/>
        </w:rPr>
      </w:pPr>
    </w:p>
    <w:p>
      <w:pPr>
        <w:rPr>
          <w:rFonts w:hint="eastAsia"/>
          <w:lang w:val="zh-CN"/>
        </w:rPr>
      </w:pPr>
    </w:p>
    <w:p>
      <w:pPr>
        <w:rPr>
          <w:rFonts w:hint="eastAsia"/>
          <w:lang w:val="zh-CN"/>
        </w:rPr>
      </w:pPr>
    </w:p>
    <w:p>
      <w:pPr>
        <w:rPr>
          <w:rFonts w:hint="eastAsia"/>
          <w:lang w:val="zh-CN"/>
        </w:rPr>
      </w:pPr>
    </w:p>
    <w:p>
      <w:pPr>
        <w:rPr>
          <w:rFonts w:hint="eastAsia"/>
          <w:lang w:val="zh-CN"/>
        </w:rPr>
      </w:pPr>
    </w:p>
    <w:p>
      <w:pPr>
        <w:rPr>
          <w:rFonts w:hint="eastAsia"/>
          <w:lang w:val="zh-CN"/>
        </w:rPr>
      </w:pPr>
    </w:p>
    <w:p>
      <w:pPr>
        <w:rPr>
          <w:rFonts w:hint="eastAsia"/>
          <w:lang w:val="zh-CN"/>
        </w:rPr>
      </w:pPr>
    </w:p>
    <w:p>
      <w:pPr>
        <w:rPr>
          <w:rFonts w:hint="eastAsia"/>
          <w:lang w:val="zh-CN"/>
        </w:rPr>
      </w:pPr>
    </w:p>
    <w:p>
      <w:pPr>
        <w:rPr>
          <w:rFonts w:hint="eastAsia"/>
          <w:lang w:val="zh-CN"/>
        </w:rPr>
      </w:pPr>
    </w:p>
    <w:p>
      <w:pPr>
        <w:rPr>
          <w:rFonts w:hint="eastAsia"/>
          <w:lang w:val="zh-CN"/>
        </w:rPr>
      </w:pPr>
    </w:p>
    <w:p>
      <w:pPr>
        <w:rPr>
          <w:lang w:val="zh-CN"/>
        </w:rPr>
      </w:pPr>
    </w:p>
    <w:p>
      <w:pPr>
        <w:adjustRightInd w:val="0"/>
        <w:snapToGrid w:val="0"/>
        <w:spacing w:line="580" w:lineRule="exact"/>
        <w:rPr>
          <w:rFonts w:hint="eastAsia" w:ascii="黑体" w:eastAsia="黑体"/>
          <w:sz w:val="32"/>
        </w:rPr>
      </w:pPr>
    </w:p>
    <w:tbl>
      <w:tblPr>
        <w:tblStyle w:val="8"/>
        <w:tblW w:w="8663" w:type="dxa"/>
        <w:tblInd w:w="0" w:type="dxa"/>
        <w:tblBorders>
          <w:top w:val="single" w:color="auto" w:sz="12" w:space="0"/>
          <w:left w:val="none" w:color="auto" w:sz="0" w:space="0"/>
          <w:bottom w:val="single" w:color="auto" w:sz="12"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5166"/>
        <w:gridCol w:w="3497"/>
      </w:tblGrid>
      <w:tr>
        <w:tblPrEx>
          <w:tblBorders>
            <w:top w:val="single" w:color="auto" w:sz="12" w:space="0"/>
            <w:left w:val="none" w:color="auto" w:sz="0" w:space="0"/>
            <w:bottom w:val="single" w:color="auto" w:sz="12"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46" w:hRule="atLeast"/>
        </w:trPr>
        <w:tc>
          <w:tcPr>
            <w:tcW w:w="8663" w:type="dxa"/>
            <w:gridSpan w:val="2"/>
            <w:tcMar>
              <w:top w:w="0" w:type="dxa"/>
              <w:left w:w="0" w:type="dxa"/>
              <w:bottom w:w="0" w:type="dxa"/>
              <w:right w:w="0" w:type="dxa"/>
            </w:tcMar>
          </w:tcPr>
          <w:p>
            <w:pPr>
              <w:adjustRightInd w:val="0"/>
              <w:snapToGrid w:val="0"/>
              <w:spacing w:line="580" w:lineRule="exact"/>
              <w:ind w:firstLine="280" w:firstLineChars="100"/>
              <w:rPr>
                <w:rFonts w:hint="eastAsia" w:ascii="仿宋_GB2312" w:hAnsi="仿宋" w:eastAsia="仿宋_GB2312"/>
                <w:sz w:val="28"/>
                <w:szCs w:val="28"/>
              </w:rPr>
            </w:pPr>
            <w:r>
              <w:rPr>
                <w:rFonts w:hint="eastAsia" w:ascii="仿宋_GB2312" w:hAnsi="仿宋" w:eastAsia="仿宋_GB2312"/>
                <w:sz w:val="28"/>
                <w:szCs w:val="28"/>
              </w:rPr>
              <w:t>抄送：</w:t>
            </w:r>
            <w:bookmarkStart w:id="4" w:name="抄送单位"/>
            <w:bookmarkEnd w:id="4"/>
            <w:r>
              <w:rPr>
                <w:rFonts w:hint="eastAsia" w:ascii="仿宋_GB2312" w:hAnsi="仿宋" w:eastAsia="仿宋_GB2312"/>
                <w:sz w:val="28"/>
                <w:szCs w:val="28"/>
              </w:rPr>
              <w:t>市委各部委办局，市人大办公室、市政协办公室、市纪委办公</w:t>
            </w:r>
          </w:p>
          <w:p>
            <w:pPr>
              <w:adjustRightInd w:val="0"/>
              <w:snapToGrid w:val="0"/>
              <w:spacing w:line="580" w:lineRule="exact"/>
              <w:ind w:firstLine="1120" w:firstLineChars="400"/>
              <w:rPr>
                <w:rFonts w:hint="eastAsia" w:ascii="仿宋_GB2312" w:hAnsi="仿宋" w:eastAsia="仿宋_GB2312"/>
                <w:sz w:val="28"/>
                <w:szCs w:val="28"/>
              </w:rPr>
            </w:pPr>
            <w:r>
              <w:rPr>
                <w:rFonts w:hint="eastAsia" w:ascii="仿宋_GB2312" w:hAnsi="仿宋" w:eastAsia="仿宋_GB2312"/>
                <w:sz w:val="28"/>
                <w:szCs w:val="28"/>
              </w:rPr>
              <w:t>室，市法院、检察院，通辽军分区、武警通辽支队、市森林消</w:t>
            </w:r>
          </w:p>
          <w:p>
            <w:pPr>
              <w:adjustRightInd w:val="0"/>
              <w:snapToGrid w:val="0"/>
              <w:spacing w:line="580" w:lineRule="exact"/>
              <w:ind w:firstLine="1120" w:firstLineChars="400"/>
              <w:rPr>
                <w:rFonts w:ascii="仿宋_GB2312" w:hAnsi="仿宋" w:eastAsia="仿宋_GB2312"/>
                <w:sz w:val="28"/>
                <w:szCs w:val="28"/>
              </w:rPr>
            </w:pPr>
            <w:r>
              <w:rPr>
                <w:rFonts w:hint="eastAsia" w:ascii="仿宋_GB2312" w:hAnsi="仿宋" w:eastAsia="仿宋_GB2312"/>
                <w:sz w:val="28"/>
                <w:szCs w:val="28"/>
              </w:rPr>
              <w:t>防支队、市消防救援支队，各人民团体，驻市中区直各单位。</w:t>
            </w:r>
          </w:p>
        </w:tc>
      </w:tr>
      <w:tr>
        <w:tblPrEx>
          <w:tblBorders>
            <w:top w:val="single" w:color="auto" w:sz="12" w:space="0"/>
            <w:left w:val="none" w:color="auto" w:sz="0" w:space="0"/>
            <w:bottom w:val="single" w:color="auto" w:sz="12"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61" w:hRule="atLeast"/>
        </w:trPr>
        <w:tc>
          <w:tcPr>
            <w:tcW w:w="5166" w:type="dxa"/>
            <w:tcMar>
              <w:top w:w="0" w:type="dxa"/>
              <w:left w:w="0" w:type="dxa"/>
              <w:bottom w:w="0" w:type="dxa"/>
              <w:right w:w="0" w:type="dxa"/>
            </w:tcMar>
          </w:tcPr>
          <w:p>
            <w:pPr>
              <w:adjustRightInd w:val="0"/>
              <w:snapToGrid w:val="0"/>
              <w:spacing w:line="580" w:lineRule="exact"/>
              <w:rPr>
                <w:rFonts w:ascii="Times New Roman" w:hAnsi="Times New Roman" w:eastAsia="仿宋_GB2312"/>
                <w:sz w:val="28"/>
                <w:szCs w:val="28"/>
              </w:rPr>
            </w:pPr>
            <w:r>
              <w:rPr>
                <w:rFonts w:ascii="Times New Roman" w:hAnsi="Times New Roman" w:eastAsia="仿宋_GB2312"/>
                <w:sz w:val="28"/>
                <w:szCs w:val="28"/>
              </w:rPr>
              <w:t xml:space="preserve">  </w:t>
            </w:r>
            <w:r>
              <w:rPr>
                <w:rFonts w:ascii="Times New Roman" w:hAnsi="Times New Roman" w:eastAsia="仿宋_GB2312"/>
                <w:kern w:val="0"/>
                <w:sz w:val="28"/>
                <w:szCs w:val="28"/>
              </w:rPr>
              <w:t>通辽市人民政府办公室秘书科</w:t>
            </w:r>
          </w:p>
        </w:tc>
        <w:tc>
          <w:tcPr>
            <w:tcW w:w="3497" w:type="dxa"/>
            <w:tcMar>
              <w:top w:w="0" w:type="dxa"/>
              <w:left w:w="0" w:type="dxa"/>
              <w:bottom w:w="0" w:type="dxa"/>
              <w:right w:w="0" w:type="dxa"/>
            </w:tcMar>
          </w:tcPr>
          <w:p>
            <w:pPr>
              <w:adjustRightInd w:val="0"/>
              <w:snapToGrid w:val="0"/>
              <w:spacing w:line="580" w:lineRule="exact"/>
              <w:ind w:right="480"/>
              <w:jc w:val="right"/>
              <w:rPr>
                <w:rFonts w:ascii="Times New Roman" w:hAnsi="Times New Roman" w:eastAsia="仿宋_GB2312"/>
                <w:sz w:val="28"/>
                <w:szCs w:val="28"/>
              </w:rPr>
            </w:pPr>
            <w:r>
              <w:rPr>
                <w:rFonts w:ascii="Times New Roman" w:hAnsi="Times New Roman" w:eastAsia="仿宋_GB2312"/>
                <w:sz w:val="28"/>
                <w:szCs w:val="28"/>
              </w:rPr>
              <w:t>2022年6月16日印发</w:t>
            </w:r>
          </w:p>
        </w:tc>
      </w:tr>
    </w:tbl>
    <w:p>
      <w:pPr>
        <w:spacing w:line="20" w:lineRule="exact"/>
        <w:rPr>
          <w:rFonts w:hint="eastAsia"/>
        </w:rPr>
      </w:pPr>
    </w:p>
    <w:p>
      <w:pPr>
        <w:spacing w:line="20" w:lineRule="exact"/>
      </w:pPr>
      <w:r>
        <w:rPr>
          <w:rFonts w:hint="eastAsia"/>
          <w:lang w:bidi="mn-Mong-CN"/>
        </w:rPr>
        <mc:AlternateContent>
          <mc:Choice Requires="wps">
            <w:drawing>
              <wp:anchor distT="0" distB="0" distL="114300" distR="114300" simplePos="0" relativeHeight="251659264" behindDoc="0" locked="0" layoutInCell="1" allowOverlap="1">
                <wp:simplePos x="0" y="0"/>
                <wp:positionH relativeFrom="margin">
                  <wp:posOffset>3654425</wp:posOffset>
                </wp:positionH>
                <wp:positionV relativeFrom="margin">
                  <wp:posOffset>8078470</wp:posOffset>
                </wp:positionV>
                <wp:extent cx="1943100" cy="891540"/>
                <wp:effectExtent l="0" t="0" r="4445" b="3810"/>
                <wp:wrapNone/>
                <wp:docPr id="4" name="文本框 4"/>
                <wp:cNvGraphicFramePr/>
                <a:graphic xmlns:a="http://schemas.openxmlformats.org/drawingml/2006/main">
                  <a:graphicData uri="http://schemas.microsoft.com/office/word/2010/wordprocessingShape">
                    <wps:wsp>
                      <wps:cNvSpPr txBox="true">
                        <a:spLocks noChangeArrowheads="true"/>
                      </wps:cNvSpPr>
                      <wps:spPr bwMode="auto">
                        <a:xfrm>
                          <a:off x="0" y="0"/>
                          <a:ext cx="1943100" cy="891540"/>
                        </a:xfrm>
                        <a:prstGeom prst="rect">
                          <a:avLst/>
                        </a:prstGeom>
                        <a:solidFill>
                          <a:srgbClr val="FFFFFF"/>
                        </a:solidFill>
                        <a:ln>
                          <a:noFill/>
                        </a:ln>
                      </wps:spPr>
                      <wps:txbx>
                        <w:txbxContent>
                          <w:p>
                            <w:pPr>
                              <w:rPr>
                                <w:sz w:val="52"/>
                                <w:szCs w:val="52"/>
                              </w:rPr>
                            </w:pPr>
                            <w:bookmarkStart w:id="5" w:name="二维条码"/>
                            <w:bookmarkEnd w:id="5"/>
                            <w:r>
                              <w:rPr>
                                <w:sz w:val="52"/>
                                <w:szCs w:val="52"/>
                                <w:lang w:bidi="mn-Mong-CN"/>
                              </w:rPr>
                              <w:drawing>
                                <wp:inline distT="0" distB="0" distL="0" distR="0">
                                  <wp:extent cx="1762125" cy="542925"/>
                                  <wp:effectExtent l="0" t="0" r="9525" b="9525"/>
                                  <wp:docPr id="3" name="图片 3" descr="OA20220616093206_6228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descr="OA20220616093206_622856"/>
                                          <pic:cNvPicPr>
                                            <a:picLocks noChangeAspect="true" noChangeArrowheads="true"/>
                                          </pic:cNvPicPr>
                                        </pic:nvPicPr>
                                        <pic:blipFill>
                                          <a:blip r:embed="rId8">
                                            <a:extLst>
                                              <a:ext uri="{28A0092B-C50C-407E-A947-70E740481C1C}">
                                                <a14:useLocalDpi xmlns:a14="http://schemas.microsoft.com/office/drawing/2010/main" val="false"/>
                                              </a:ext>
                                            </a:extLst>
                                          </a:blip>
                                          <a:srcRect/>
                                          <a:stretch>
                                            <a:fillRect/>
                                          </a:stretch>
                                        </pic:blipFill>
                                        <pic:spPr>
                                          <a:xfrm>
                                            <a:off x="0" y="0"/>
                                            <a:ext cx="1762125" cy="542925"/>
                                          </a:xfrm>
                                          <a:prstGeom prst="rect">
                                            <a:avLst/>
                                          </a:prstGeom>
                                          <a:noFill/>
                                          <a:ln>
                                            <a:noFill/>
                                          </a:ln>
                                        </pic:spPr>
                                      </pic:pic>
                                    </a:graphicData>
                                  </a:graphic>
                                </wp:inline>
                              </w:drawing>
                            </w:r>
                          </w:p>
                          <w:p>
                            <w:pPr>
                              <w:rPr>
                                <w:sz w:val="52"/>
                                <w:szCs w:val="52"/>
                              </w:rPr>
                            </w:pPr>
                          </w:p>
                        </w:txbxContent>
                      </wps:txbx>
                      <wps:bodyPr rot="0" vert="horz" wrap="square" lIns="91440" tIns="45720" rIns="91440" bIns="45720" anchor="t" anchorCtr="false" upright="true">
                        <a:noAutofit/>
                      </wps:bodyPr>
                    </wps:wsp>
                  </a:graphicData>
                </a:graphic>
              </wp:anchor>
            </w:drawing>
          </mc:Choice>
          <mc:Fallback>
            <w:pict>
              <v:shape id="_x0000_s1026" o:spid="_x0000_s1026" o:spt="202" type="#_x0000_t202" style="position:absolute;left:0pt;margin-left:287.75pt;margin-top:636.1pt;height:70.2pt;width:153pt;mso-position-horizontal-relative:margin;mso-position-vertical-relative:margin;z-index:251659264;mso-width-relative:page;mso-height-relative:page;" fillcolor="#FFFFFF" filled="t" stroked="f" coordsize="21600,21600" o:gfxdata="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FgAAAGRycy9QSwECFAAU&#10;AAAACACHTuJAw+Gh6tkAAAANAQAADwAAAAAAAAABACAAAAA4AAAAZHJzL2Rvd25yZXYueG1sUEsB&#10;AhQAFAAAAAgAh07iQKOKc6QXAgAA/QMAAA4AAAAAAAAAAQAgAAAAPgEAAGRycy9lMm9Eb2MueG1s&#10;UEsFBgAAAAAGAAYAWQEAAMcFAAAAAA==&#10;">
                <v:fill on="t" focussize="0,0"/>
                <v:stroke on="f"/>
                <v:imagedata o:title=""/>
                <o:lock v:ext="edit" aspectratio="f"/>
                <v:textbox>
                  <w:txbxContent>
                    <w:p>
                      <w:pPr>
                        <w:rPr>
                          <w:sz w:val="52"/>
                          <w:szCs w:val="52"/>
                        </w:rPr>
                      </w:pPr>
                      <w:bookmarkStart w:id="5" w:name="二维条码"/>
                      <w:bookmarkEnd w:id="5"/>
                      <w:r>
                        <w:rPr>
                          <w:sz w:val="52"/>
                          <w:szCs w:val="52"/>
                          <w:lang w:bidi="mn-Mong-CN"/>
                        </w:rPr>
                        <w:drawing>
                          <wp:inline distT="0" distB="0" distL="0" distR="0">
                            <wp:extent cx="1762125" cy="542925"/>
                            <wp:effectExtent l="0" t="0" r="9525" b="9525"/>
                            <wp:docPr id="3" name="图片 3" descr="OA20220616093206_6228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descr="OA20220616093206_622856"/>
                                    <pic:cNvPicPr>
                                      <a:picLocks noChangeAspect="true" noChangeArrowheads="true"/>
                                    </pic:cNvPicPr>
                                  </pic:nvPicPr>
                                  <pic:blipFill>
                                    <a:blip r:embed="rId8">
                                      <a:extLst>
                                        <a:ext uri="{28A0092B-C50C-407E-A947-70E740481C1C}">
                                          <a14:useLocalDpi xmlns:a14="http://schemas.microsoft.com/office/drawing/2010/main" val="false"/>
                                        </a:ext>
                                      </a:extLst>
                                    </a:blip>
                                    <a:srcRect/>
                                    <a:stretch>
                                      <a:fillRect/>
                                    </a:stretch>
                                  </pic:blipFill>
                                  <pic:spPr>
                                    <a:xfrm>
                                      <a:off x="0" y="0"/>
                                      <a:ext cx="1762125" cy="542925"/>
                                    </a:xfrm>
                                    <a:prstGeom prst="rect">
                                      <a:avLst/>
                                    </a:prstGeom>
                                    <a:noFill/>
                                    <a:ln>
                                      <a:noFill/>
                                    </a:ln>
                                  </pic:spPr>
                                </pic:pic>
                              </a:graphicData>
                            </a:graphic>
                          </wp:inline>
                        </w:drawing>
                      </w:r>
                    </w:p>
                    <w:p>
                      <w:pPr>
                        <w:rPr>
                          <w:sz w:val="52"/>
                          <w:szCs w:val="52"/>
                        </w:rPr>
                      </w:pPr>
                    </w:p>
                  </w:txbxContent>
                </v:textbox>
              </v:shape>
            </w:pict>
          </mc:Fallback>
        </mc:AlternateContent>
      </w:r>
    </w:p>
    <w:p/>
    <w:sectPr>
      <w:footerReference r:id="rId3" w:type="default"/>
      <w:footerReference r:id="rId4" w:type="even"/>
      <w:pgSz w:w="11906" w:h="16838"/>
      <w:pgMar w:top="2098" w:right="1474" w:bottom="1985" w:left="1588" w:header="1701" w:footer="1814"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wordWrap w:val="0"/>
      <w:jc w:val="right"/>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w:t>
    </w:r>
    <w:r>
      <w:rPr>
        <w:sz w:val="28"/>
        <w:szCs w:val="28"/>
      </w:rPr>
      <w:fldChar w:fldCharType="end"/>
    </w:r>
    <w:r>
      <w:rPr>
        <w:sz w:val="28"/>
        <w:szCs w:val="28"/>
      </w:rPr>
      <w:t xml:space="preserve"> </w:t>
    </w:r>
    <w:r>
      <w:rPr>
        <w:rFonts w:hint="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w:t>
    </w:r>
    <w:r>
      <w:rPr>
        <w:sz w:val="28"/>
        <w:szCs w:val="28"/>
      </w:rPr>
      <w:fldChar w:fldCharType="end"/>
    </w:r>
    <w:r>
      <w:rPr>
        <w:sz w:val="28"/>
        <w:szCs w:val="28"/>
      </w:rPr>
      <w:t xml:space="preserve"> </w:t>
    </w:r>
    <w:r>
      <w:rPr>
        <w:rFonts w:hint="eastAsia"/>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9F9"/>
    <w:rsid w:val="006C69D5"/>
    <w:rsid w:val="007F23FF"/>
    <w:rsid w:val="008A6D63"/>
    <w:rsid w:val="00A94324"/>
    <w:rsid w:val="00EE09F9"/>
    <w:rsid w:val="FFF79B5A"/>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4"/>
    <w:unhideWhenUsed/>
    <w:qFormat/>
    <w:uiPriority w:val="99"/>
    <w:pPr>
      <w:spacing w:after="120"/>
    </w:pPr>
    <w:rPr>
      <w:szCs w:val="24"/>
    </w:rPr>
  </w:style>
  <w:style w:type="paragraph" w:styleId="3">
    <w:name w:val="header"/>
    <w:basedOn w:val="1"/>
    <w:link w:val="11"/>
    <w:qFormat/>
    <w:uiPriority w:val="0"/>
    <w:pPr>
      <w:pBdr>
        <w:bottom w:val="single" w:color="auto" w:sz="6" w:space="1"/>
      </w:pBdr>
      <w:tabs>
        <w:tab w:val="center" w:pos="4153"/>
        <w:tab w:val="right" w:pos="8306"/>
      </w:tabs>
      <w:snapToGrid w:val="0"/>
      <w:jc w:val="center"/>
    </w:pPr>
    <w:rPr>
      <w:rFonts w:ascii="Times New Roman" w:hAnsi="Times New Roman"/>
      <w:sz w:val="18"/>
      <w:szCs w:val="18"/>
    </w:rPr>
  </w:style>
  <w:style w:type="paragraph" w:styleId="4">
    <w:name w:val="Date"/>
    <w:basedOn w:val="1"/>
    <w:next w:val="1"/>
    <w:link w:val="13"/>
    <w:unhideWhenUsed/>
    <w:qFormat/>
    <w:uiPriority w:val="0"/>
    <w:pPr>
      <w:ind w:left="100" w:leftChars="2500"/>
    </w:pPr>
    <w:rPr>
      <w:rFonts w:ascii="仿宋_GB2312" w:hAnsi="Times New Roman" w:eastAsia="仿宋_GB2312"/>
      <w:sz w:val="32"/>
      <w:szCs w:val="24"/>
      <w:lang w:val="zh-CN" w:eastAsia="zh-CN"/>
    </w:rPr>
  </w:style>
  <w:style w:type="paragraph" w:styleId="5">
    <w:name w:val="Balloon Text"/>
    <w:basedOn w:val="1"/>
    <w:link w:val="16"/>
    <w:qFormat/>
    <w:uiPriority w:val="0"/>
    <w:rPr>
      <w:sz w:val="18"/>
      <w:szCs w:val="18"/>
    </w:rPr>
  </w:style>
  <w:style w:type="paragraph" w:styleId="6">
    <w:name w:val="footer"/>
    <w:basedOn w:val="1"/>
    <w:link w:val="12"/>
    <w:qFormat/>
    <w:uiPriority w:val="99"/>
    <w:pPr>
      <w:tabs>
        <w:tab w:val="center" w:pos="4153"/>
        <w:tab w:val="right" w:pos="8306"/>
      </w:tabs>
      <w:snapToGrid w:val="0"/>
      <w:jc w:val="left"/>
    </w:pPr>
    <w:rPr>
      <w:rFonts w:ascii="Times New Roman" w:hAnsi="Times New Roman"/>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table" w:styleId="9">
    <w:name w:val="Table Grid"/>
    <w:basedOn w:val="8"/>
    <w:qFormat/>
    <w:uiPriority w:val="59"/>
    <w:rPr>
      <w:lang w:bidi="mn-Mong-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1">
    <w:name w:val="页眉 Char"/>
    <w:basedOn w:val="10"/>
    <w:link w:val="3"/>
    <w:qFormat/>
    <w:uiPriority w:val="0"/>
    <w:rPr>
      <w:kern w:val="2"/>
      <w:sz w:val="18"/>
      <w:szCs w:val="18"/>
    </w:rPr>
  </w:style>
  <w:style w:type="character" w:customStyle="1" w:styleId="12">
    <w:name w:val="页脚 Char"/>
    <w:basedOn w:val="10"/>
    <w:link w:val="6"/>
    <w:qFormat/>
    <w:uiPriority w:val="99"/>
    <w:rPr>
      <w:kern w:val="2"/>
      <w:sz w:val="18"/>
      <w:szCs w:val="18"/>
    </w:rPr>
  </w:style>
  <w:style w:type="character" w:customStyle="1" w:styleId="13">
    <w:name w:val="日期 Char"/>
    <w:basedOn w:val="10"/>
    <w:link w:val="4"/>
    <w:qFormat/>
    <w:uiPriority w:val="0"/>
    <w:rPr>
      <w:rFonts w:ascii="仿宋_GB2312" w:eastAsia="仿宋_GB2312"/>
      <w:kern w:val="2"/>
      <w:sz w:val="32"/>
      <w:szCs w:val="24"/>
      <w:lang w:val="zh-CN" w:eastAsia="zh-CN"/>
    </w:rPr>
  </w:style>
  <w:style w:type="character" w:customStyle="1" w:styleId="14">
    <w:name w:val="正文文本 Char"/>
    <w:basedOn w:val="10"/>
    <w:link w:val="2"/>
    <w:qFormat/>
    <w:uiPriority w:val="99"/>
    <w:rPr>
      <w:rFonts w:ascii="Calibri" w:hAnsi="Calibri"/>
      <w:kern w:val="2"/>
      <w:sz w:val="21"/>
      <w:szCs w:val="24"/>
    </w:rPr>
  </w:style>
  <w:style w:type="paragraph" w:customStyle="1" w:styleId="15">
    <w:name w:val="表格"/>
    <w:basedOn w:val="1"/>
    <w:qFormat/>
    <w:uiPriority w:val="99"/>
    <w:pPr>
      <w:widowControl/>
      <w:snapToGrid w:val="0"/>
      <w:jc w:val="center"/>
    </w:pPr>
    <w:rPr>
      <w:rFonts w:ascii="Times New Roman" w:hAnsi="Times New Roman" w:eastAsia="仿宋_GB2312"/>
      <w:sz w:val="24"/>
      <w:szCs w:val="24"/>
    </w:rPr>
  </w:style>
  <w:style w:type="character" w:customStyle="1" w:styleId="16">
    <w:name w:val="批注框文本 Char"/>
    <w:basedOn w:val="10"/>
    <w:link w:val="5"/>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53</Pages>
  <Words>23621</Words>
  <Characters>3016</Characters>
  <Lines>25</Lines>
  <Paragraphs>53</Paragraphs>
  <TotalTime>0</TotalTime>
  <ScaleCrop>false</ScaleCrop>
  <LinksUpToDate>false</LinksUpToDate>
  <CharactersWithSpaces>26584</CharactersWithSpaces>
  <Application>WPS Office_11.8.2.1111_F1E327BC-269C-435d-A152-05C5408002CA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2022-06-27T15:03:00Z</dcterms:created>
  <dc:creator>张芳芳(文件登记(张芳芳代):)</dc:creator>
  <cp:lastModifiedBy>uos</cp:lastModifiedBy>
  <dcterms:modified xsi:type="dcterms:W3CDTF">2022-07-19T11:13:15Z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2052-11.8.2.1111</vt:lpwstr>
  </property>
</Properties>
</file>