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right="0" w:rightChars="0"/>
        <w:jc w:val="center"/>
        <w:rPr>
          <w:sz w:val="32"/>
          <w:szCs w:val="32"/>
        </w:rPr>
      </w:pPr>
      <w:r>
        <w:rPr>
          <w:rFonts w:hint="eastAsia"/>
          <w:sz w:val="32"/>
          <w:szCs w:val="32"/>
          <w:lang w:eastAsia="zh-CN"/>
        </w:rPr>
        <w:t>通辽市扶贫开发办公室商务服务（通辽市京蒙扶贫协作项目监测项目）二次公告</w:t>
      </w:r>
    </w:p>
    <w:p>
      <w:pPr>
        <w:pStyle w:val="2"/>
        <w:spacing w:before="253" w:line="362" w:lineRule="auto"/>
        <w:ind w:right="54" w:firstLine="480" w:firstLineChars="200"/>
      </w:pPr>
      <w:r>
        <w:rPr>
          <w:rFonts w:hint="eastAsia"/>
          <w:lang w:eastAsia="zh-CN"/>
        </w:rPr>
        <w:t>山东龙信达咨询监理有限公司</w:t>
      </w:r>
      <w:r>
        <w:t>受</w:t>
      </w:r>
      <w:r>
        <w:rPr>
          <w:rFonts w:hint="eastAsia"/>
          <w:lang w:eastAsia="zh-CN"/>
        </w:rPr>
        <w:t>通辽市扶贫开发办公室</w:t>
      </w:r>
      <w:r>
        <w:t>委托，采用竞争性磋商</w:t>
      </w:r>
      <w:r>
        <w:rPr>
          <w:rFonts w:hint="eastAsia"/>
          <w:lang w:eastAsia="zh-CN"/>
        </w:rPr>
        <w:t>方式</w:t>
      </w:r>
      <w:r>
        <w:t>，采购</w:t>
      </w:r>
      <w:r>
        <w:rPr>
          <w:rFonts w:hint="eastAsia"/>
          <w:lang w:eastAsia="zh-CN"/>
        </w:rPr>
        <w:t>通辽市扶贫开发办公室商务服务（通辽市京蒙扶贫协作项目监测项目）二次</w:t>
      </w:r>
      <w:r>
        <w:t>。欢迎符合资格条件的供应商前来参加。</w:t>
      </w:r>
    </w:p>
    <w:p>
      <w:pPr>
        <w:numPr>
          <w:ilvl w:val="0"/>
          <w:numId w:val="0"/>
        </w:numPr>
        <w:spacing w:before="5" w:line="364" w:lineRule="auto"/>
        <w:ind w:right="163" w:rightChars="0"/>
        <w:jc w:val="left"/>
        <w:outlineLvl w:val="1"/>
        <w:rPr>
          <w:sz w:val="24"/>
        </w:rPr>
      </w:pPr>
      <w:bookmarkStart w:id="0" w:name="_Toc3956"/>
      <w:bookmarkStart w:id="1" w:name="_Toc10915"/>
      <w:bookmarkStart w:id="2" w:name="_Toc15850"/>
      <w:bookmarkStart w:id="3" w:name="_Toc23394"/>
      <w:r>
        <w:rPr>
          <w:rFonts w:hint="eastAsia"/>
          <w:b/>
          <w:sz w:val="24"/>
          <w:lang w:eastAsia="zh-CN"/>
        </w:rPr>
        <w:t>一、</w:t>
      </w:r>
      <w:r>
        <w:rPr>
          <w:b/>
          <w:sz w:val="24"/>
        </w:rPr>
        <w:t>项目概述</w:t>
      </w:r>
      <w:bookmarkEnd w:id="0"/>
      <w:bookmarkEnd w:id="1"/>
      <w:bookmarkEnd w:id="2"/>
      <w:bookmarkEnd w:id="3"/>
    </w:p>
    <w:p>
      <w:pPr>
        <w:numPr>
          <w:ilvl w:val="0"/>
          <w:numId w:val="0"/>
        </w:numPr>
        <w:spacing w:before="5" w:line="364" w:lineRule="auto"/>
        <w:ind w:right="163" w:rightChars="0" w:firstLine="480" w:firstLineChars="200"/>
        <w:jc w:val="left"/>
        <w:outlineLvl w:val="1"/>
        <w:rPr>
          <w:sz w:val="24"/>
        </w:rPr>
      </w:pPr>
      <w:bookmarkStart w:id="4" w:name="_Toc30430"/>
      <w:bookmarkStart w:id="5" w:name="_Toc32552"/>
      <w:bookmarkStart w:id="6" w:name="_Toc16355"/>
      <w:bookmarkStart w:id="7" w:name="_Toc19474"/>
      <w:r>
        <w:rPr>
          <w:rFonts w:hint="eastAsia" w:ascii="宋体" w:hAnsi="宋体" w:eastAsia="宋体" w:cs="宋体"/>
          <w:sz w:val="24"/>
          <w:szCs w:val="24"/>
          <w:lang w:val="en-US" w:eastAsia="zh-CN" w:bidi="zh-CN"/>
        </w:rPr>
        <w:t>1.</w:t>
      </w:r>
      <w:r>
        <w:rPr>
          <w:rFonts w:hint="eastAsia" w:ascii="宋体" w:hAnsi="宋体" w:eastAsia="宋体" w:cs="宋体"/>
          <w:sz w:val="24"/>
          <w:szCs w:val="24"/>
          <w:lang w:val="zh-CN" w:eastAsia="zh-CN" w:bidi="zh-CN"/>
        </w:rPr>
        <w:t>名称</w:t>
      </w:r>
      <w:r>
        <w:rPr>
          <w:sz w:val="24"/>
        </w:rPr>
        <w:t>与编号</w:t>
      </w:r>
      <w:bookmarkEnd w:id="4"/>
      <w:bookmarkEnd w:id="5"/>
      <w:bookmarkEnd w:id="6"/>
      <w:bookmarkEnd w:id="7"/>
    </w:p>
    <w:p>
      <w:pPr>
        <w:spacing w:line="360" w:lineRule="auto"/>
        <w:ind w:firstLine="480" w:firstLineChars="200"/>
        <w:rPr>
          <w:rFonts w:hint="eastAsia"/>
          <w:highlight w:val="yellow"/>
          <w:lang w:eastAsia="zh-CN"/>
        </w:rPr>
      </w:pPr>
      <w:r>
        <w:rPr>
          <w:rFonts w:hint="eastAsia" w:ascii="宋体" w:hAnsi="宋体" w:eastAsia="宋体" w:cs="宋体"/>
          <w:sz w:val="24"/>
          <w:szCs w:val="24"/>
          <w:lang w:val="zh-CN" w:eastAsia="zh-CN" w:bidi="zh-CN"/>
        </w:rPr>
        <w:t>项目名称：</w:t>
      </w:r>
      <w:r>
        <w:rPr>
          <w:rFonts w:hint="eastAsia"/>
          <w:sz w:val="24"/>
          <w:szCs w:val="24"/>
          <w:highlight w:val="none"/>
          <w:lang w:eastAsia="zh-CN"/>
        </w:rPr>
        <w:t>通辽市扶贫开发办公室商务服务（通辽市京蒙扶贫协作项目监测项目）二次</w:t>
      </w:r>
    </w:p>
    <w:p>
      <w:pPr>
        <w:spacing w:line="360" w:lineRule="auto"/>
        <w:ind w:firstLine="480" w:firstLineChars="200"/>
        <w:rPr>
          <w:rFonts w:hint="eastAsia" w:ascii="宋体" w:hAnsi="宋体" w:eastAsia="宋体" w:cs="宋体"/>
          <w:sz w:val="24"/>
          <w:szCs w:val="24"/>
          <w:highlight w:val="red"/>
          <w:lang w:val="zh-CN" w:eastAsia="zh-CN" w:bidi="zh-CN"/>
        </w:rPr>
      </w:pPr>
      <w:r>
        <w:rPr>
          <w:rFonts w:hint="eastAsia" w:ascii="宋体" w:hAnsi="宋体" w:eastAsia="宋体" w:cs="宋体"/>
          <w:sz w:val="24"/>
          <w:szCs w:val="24"/>
          <w:lang w:val="zh-CN" w:eastAsia="zh-CN" w:bidi="zh-CN"/>
        </w:rPr>
        <w:t>批准文件编号：通财购备字（电子）[2020]00132号</w:t>
      </w:r>
    </w:p>
    <w:p>
      <w:pPr>
        <w:spacing w:line="360" w:lineRule="auto"/>
        <w:ind w:firstLine="480" w:firstLineChars="200"/>
        <w:rPr>
          <w:rFonts w:hint="eastAsia" w:ascii="宋体" w:hAnsi="宋体" w:eastAsia="宋体" w:cs="宋体"/>
          <w:sz w:val="24"/>
          <w:szCs w:val="24"/>
          <w:highlight w:val="none"/>
          <w:lang w:val="zh-CN" w:eastAsia="zh-CN" w:bidi="zh-CN"/>
        </w:rPr>
      </w:pPr>
      <w:r>
        <w:rPr>
          <w:rFonts w:hint="eastAsia" w:ascii="宋体" w:hAnsi="宋体" w:eastAsia="宋体" w:cs="宋体"/>
          <w:sz w:val="24"/>
          <w:szCs w:val="24"/>
          <w:highlight w:val="none"/>
          <w:lang w:val="zh-CN" w:eastAsia="zh-CN" w:bidi="zh-CN"/>
        </w:rPr>
        <w:t>竞争性磋商文件编号：TG2020B030131</w:t>
      </w:r>
    </w:p>
    <w:p>
      <w:pPr>
        <w:pStyle w:val="7"/>
        <w:numPr>
          <w:ilvl w:val="0"/>
          <w:numId w:val="0"/>
        </w:numPr>
        <w:tabs>
          <w:tab w:val="left" w:pos="614"/>
        </w:tabs>
        <w:spacing w:before="5" w:after="0" w:line="360" w:lineRule="auto"/>
        <w:ind w:right="0" w:rightChars="0" w:firstLine="480" w:firstLineChars="200"/>
        <w:jc w:val="left"/>
        <w:outlineLvl w:val="2"/>
        <w:rPr>
          <w:sz w:val="24"/>
        </w:rPr>
      </w:pPr>
      <w:bookmarkStart w:id="8" w:name="_Toc9568"/>
      <w:r>
        <w:rPr>
          <w:rFonts w:hint="eastAsia"/>
          <w:sz w:val="24"/>
          <w:lang w:val="en-US" w:eastAsia="zh-CN"/>
        </w:rPr>
        <w:t>2.</w:t>
      </w:r>
      <w:r>
        <w:rPr>
          <w:sz w:val="24"/>
        </w:rPr>
        <w:t>内容及分包情况（技术规格、参数及要求）</w:t>
      </w:r>
      <w:bookmarkEnd w:id="8"/>
    </w:p>
    <w:p>
      <w:pPr>
        <w:pStyle w:val="2"/>
        <w:spacing w:before="3"/>
        <w:rPr>
          <w:sz w:val="12"/>
        </w:rPr>
      </w:pPr>
    </w:p>
    <w:tbl>
      <w:tblPr>
        <w:tblStyle w:val="5"/>
        <w:tblW w:w="9040" w:type="dxa"/>
        <w:tblInd w:w="5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0"/>
        <w:gridCol w:w="2855"/>
        <w:gridCol w:w="848"/>
        <w:gridCol w:w="2783"/>
        <w:gridCol w:w="16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860" w:type="dxa"/>
          </w:tcPr>
          <w:p>
            <w:pPr>
              <w:pStyle w:val="8"/>
              <w:spacing w:before="70"/>
              <w:ind w:left="170" w:right="160"/>
              <w:jc w:val="center"/>
              <w:rPr>
                <w:sz w:val="24"/>
              </w:rPr>
            </w:pPr>
            <w:r>
              <w:rPr>
                <w:sz w:val="24"/>
              </w:rPr>
              <w:t>包号</w:t>
            </w:r>
          </w:p>
        </w:tc>
        <w:tc>
          <w:tcPr>
            <w:tcW w:w="2855" w:type="dxa"/>
          </w:tcPr>
          <w:p>
            <w:pPr>
              <w:pStyle w:val="8"/>
              <w:spacing w:before="70"/>
              <w:ind w:left="207" w:right="197"/>
              <w:jc w:val="center"/>
              <w:rPr>
                <w:sz w:val="24"/>
              </w:rPr>
            </w:pPr>
            <w:r>
              <w:rPr>
                <w:sz w:val="24"/>
              </w:rPr>
              <w:t>货物、服务和工程名称</w:t>
            </w:r>
          </w:p>
        </w:tc>
        <w:tc>
          <w:tcPr>
            <w:tcW w:w="848" w:type="dxa"/>
          </w:tcPr>
          <w:p>
            <w:pPr>
              <w:pStyle w:val="8"/>
              <w:spacing w:before="70"/>
              <w:ind w:left="163" w:right="155"/>
              <w:jc w:val="center"/>
              <w:rPr>
                <w:sz w:val="24"/>
              </w:rPr>
            </w:pPr>
            <w:r>
              <w:rPr>
                <w:sz w:val="24"/>
              </w:rPr>
              <w:t>数量</w:t>
            </w:r>
          </w:p>
        </w:tc>
        <w:tc>
          <w:tcPr>
            <w:tcW w:w="2783" w:type="dxa"/>
          </w:tcPr>
          <w:p>
            <w:pPr>
              <w:pStyle w:val="8"/>
              <w:spacing w:before="70"/>
              <w:ind w:left="289" w:right="283"/>
              <w:jc w:val="center"/>
              <w:rPr>
                <w:sz w:val="24"/>
              </w:rPr>
            </w:pPr>
            <w:r>
              <w:rPr>
                <w:sz w:val="24"/>
              </w:rPr>
              <w:t>技术规格、参数要求</w:t>
            </w:r>
          </w:p>
        </w:tc>
        <w:tc>
          <w:tcPr>
            <w:tcW w:w="1694" w:type="dxa"/>
          </w:tcPr>
          <w:p>
            <w:pPr>
              <w:pStyle w:val="8"/>
              <w:spacing w:before="70"/>
              <w:ind w:left="106" w:right="-29"/>
              <w:rPr>
                <w:sz w:val="24"/>
              </w:rPr>
            </w:pPr>
            <w:r>
              <w:rPr>
                <w:spacing w:val="-21"/>
                <w:sz w:val="24"/>
                <w:highlight w:val="none"/>
              </w:rPr>
              <w:t>预算金额</w:t>
            </w:r>
            <w:r>
              <w:rPr>
                <w:sz w:val="24"/>
                <w:highlight w:val="none"/>
              </w:rPr>
              <w:t>（元</w:t>
            </w:r>
            <w:r>
              <w:rPr>
                <w:spacing w:val="-11"/>
                <w:sz w:val="24"/>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trPr>
        <w:tc>
          <w:tcPr>
            <w:tcW w:w="860" w:type="dxa"/>
          </w:tcPr>
          <w:p>
            <w:pPr>
              <w:pStyle w:val="8"/>
              <w:spacing w:before="3"/>
              <w:rPr>
                <w:sz w:val="19"/>
              </w:rPr>
            </w:pPr>
          </w:p>
          <w:p>
            <w:pPr>
              <w:pStyle w:val="8"/>
              <w:ind w:left="10"/>
              <w:jc w:val="center"/>
              <w:rPr>
                <w:sz w:val="24"/>
              </w:rPr>
            </w:pPr>
            <w:r>
              <w:rPr>
                <w:sz w:val="24"/>
              </w:rPr>
              <w:t>1</w:t>
            </w:r>
          </w:p>
        </w:tc>
        <w:tc>
          <w:tcPr>
            <w:tcW w:w="2855" w:type="dxa"/>
            <w:vAlign w:val="center"/>
          </w:tcPr>
          <w:p>
            <w:pPr>
              <w:pStyle w:val="8"/>
              <w:ind w:left="289" w:right="283"/>
              <w:jc w:val="center"/>
              <w:rPr>
                <w:rFonts w:hint="eastAsia" w:eastAsia="宋体"/>
                <w:sz w:val="24"/>
                <w:lang w:eastAsia="zh-CN"/>
              </w:rPr>
            </w:pPr>
            <w:r>
              <w:rPr>
                <w:rFonts w:hint="eastAsia"/>
                <w:sz w:val="24"/>
                <w:lang w:eastAsia="zh-CN"/>
              </w:rPr>
              <w:t>通辽市扶贫开发办公室商务服务（通辽市京蒙扶贫协作项目监测项目）二次</w:t>
            </w:r>
          </w:p>
        </w:tc>
        <w:tc>
          <w:tcPr>
            <w:tcW w:w="848" w:type="dxa"/>
          </w:tcPr>
          <w:p>
            <w:pPr>
              <w:pStyle w:val="8"/>
              <w:spacing w:before="3"/>
              <w:rPr>
                <w:sz w:val="19"/>
              </w:rPr>
            </w:pPr>
          </w:p>
          <w:p>
            <w:pPr>
              <w:pStyle w:val="8"/>
              <w:ind w:left="8"/>
              <w:jc w:val="center"/>
              <w:rPr>
                <w:sz w:val="24"/>
              </w:rPr>
            </w:pPr>
            <w:r>
              <w:rPr>
                <w:sz w:val="24"/>
              </w:rPr>
              <w:t>1</w:t>
            </w:r>
          </w:p>
        </w:tc>
        <w:tc>
          <w:tcPr>
            <w:tcW w:w="2783" w:type="dxa"/>
          </w:tcPr>
          <w:p>
            <w:pPr>
              <w:pStyle w:val="8"/>
              <w:spacing w:before="3"/>
              <w:rPr>
                <w:sz w:val="19"/>
              </w:rPr>
            </w:pPr>
          </w:p>
          <w:p>
            <w:pPr>
              <w:pStyle w:val="8"/>
              <w:ind w:left="289" w:right="283"/>
              <w:jc w:val="center"/>
              <w:rPr>
                <w:sz w:val="24"/>
              </w:rPr>
            </w:pPr>
            <w:r>
              <w:rPr>
                <w:sz w:val="24"/>
              </w:rPr>
              <w:t>详见竞争性磋商文件</w:t>
            </w:r>
          </w:p>
        </w:tc>
        <w:tc>
          <w:tcPr>
            <w:tcW w:w="1694" w:type="dxa"/>
          </w:tcPr>
          <w:p>
            <w:pPr>
              <w:pStyle w:val="8"/>
              <w:spacing w:before="3"/>
              <w:rPr>
                <w:sz w:val="19"/>
              </w:rPr>
            </w:pPr>
          </w:p>
          <w:p>
            <w:pPr>
              <w:pStyle w:val="8"/>
              <w:jc w:val="center"/>
              <w:rPr>
                <w:rFonts w:hint="default" w:eastAsia="宋体"/>
                <w:sz w:val="24"/>
                <w:lang w:val="en-US" w:eastAsia="zh-CN"/>
              </w:rPr>
            </w:pPr>
            <w:r>
              <w:rPr>
                <w:rFonts w:hint="eastAsia"/>
                <w:sz w:val="24"/>
                <w:lang w:val="en-US" w:eastAsia="zh-CN"/>
              </w:rPr>
              <w:t>1000000.00</w:t>
            </w:r>
          </w:p>
        </w:tc>
      </w:tr>
    </w:tbl>
    <w:p>
      <w:pPr>
        <w:spacing w:before="2"/>
        <w:ind w:right="0"/>
        <w:jc w:val="left"/>
        <w:outlineLvl w:val="1"/>
        <w:rPr>
          <w:b/>
          <w:sz w:val="24"/>
        </w:rPr>
      </w:pPr>
      <w:bookmarkStart w:id="9" w:name="_Toc15006"/>
      <w:bookmarkStart w:id="10" w:name="_Toc2382"/>
      <w:bookmarkStart w:id="11" w:name="_Toc8152"/>
      <w:bookmarkStart w:id="12" w:name="_Toc4186"/>
      <w:r>
        <w:rPr>
          <w:b/>
          <w:sz w:val="24"/>
        </w:rPr>
        <w:t>二、供应商资格要求</w:t>
      </w:r>
      <w:bookmarkEnd w:id="9"/>
      <w:bookmarkEnd w:id="10"/>
      <w:bookmarkEnd w:id="11"/>
      <w:bookmarkEnd w:id="12"/>
    </w:p>
    <w:p>
      <w:pPr>
        <w:pStyle w:val="7"/>
        <w:numPr>
          <w:ilvl w:val="0"/>
          <w:numId w:val="0"/>
        </w:numPr>
        <w:tabs>
          <w:tab w:val="left" w:pos="974"/>
        </w:tabs>
        <w:spacing w:before="160" w:after="0" w:line="240" w:lineRule="auto"/>
        <w:ind w:right="0" w:rightChars="0" w:firstLine="480" w:firstLineChars="200"/>
        <w:jc w:val="left"/>
        <w:rPr>
          <w:sz w:val="24"/>
        </w:rPr>
      </w:pPr>
      <w:r>
        <w:rPr>
          <w:rFonts w:hint="eastAsia"/>
          <w:sz w:val="24"/>
          <w:lang w:val="en-US" w:eastAsia="zh-CN"/>
        </w:rPr>
        <w:t>1.</w:t>
      </w:r>
      <w:r>
        <w:rPr>
          <w:sz w:val="24"/>
        </w:rPr>
        <w:t>供应商须具备《中华人民共和国政府采购法》第二十二条规定的条件，即：</w:t>
      </w:r>
    </w:p>
    <w:p>
      <w:pPr>
        <w:pStyle w:val="7"/>
        <w:numPr>
          <w:ilvl w:val="0"/>
          <w:numId w:val="0"/>
        </w:numPr>
        <w:tabs>
          <w:tab w:val="left" w:pos="1694"/>
        </w:tabs>
        <w:spacing w:before="158" w:after="0" w:line="240" w:lineRule="auto"/>
        <w:ind w:right="0" w:rightChars="0" w:firstLine="480" w:firstLineChars="200"/>
        <w:jc w:val="left"/>
        <w:rPr>
          <w:sz w:val="24"/>
        </w:rPr>
      </w:pPr>
      <w:r>
        <w:rPr>
          <w:rFonts w:hint="eastAsia"/>
          <w:sz w:val="24"/>
          <w:lang w:eastAsia="zh-CN"/>
        </w:rPr>
        <w:t>（</w:t>
      </w:r>
      <w:r>
        <w:rPr>
          <w:rFonts w:hint="eastAsia"/>
          <w:sz w:val="24"/>
          <w:lang w:val="en-US" w:eastAsia="zh-CN"/>
        </w:rPr>
        <w:t>1</w:t>
      </w:r>
      <w:r>
        <w:rPr>
          <w:rFonts w:hint="eastAsia"/>
          <w:sz w:val="24"/>
          <w:lang w:eastAsia="zh-CN"/>
        </w:rPr>
        <w:t>）</w:t>
      </w:r>
      <w:r>
        <w:rPr>
          <w:sz w:val="24"/>
        </w:rPr>
        <w:t>具有独立承担民事责任的能力；</w:t>
      </w:r>
    </w:p>
    <w:p>
      <w:pPr>
        <w:pStyle w:val="7"/>
        <w:numPr>
          <w:ilvl w:val="0"/>
          <w:numId w:val="0"/>
        </w:numPr>
        <w:tabs>
          <w:tab w:val="left" w:pos="1694"/>
        </w:tabs>
        <w:spacing w:before="161" w:after="0" w:line="240" w:lineRule="auto"/>
        <w:ind w:right="0" w:rightChars="0" w:firstLine="480" w:firstLineChars="200"/>
        <w:jc w:val="left"/>
        <w:rPr>
          <w:sz w:val="24"/>
        </w:rPr>
      </w:pPr>
      <w:r>
        <w:rPr>
          <w:rFonts w:hint="eastAsia"/>
          <w:sz w:val="24"/>
          <w:lang w:eastAsia="zh-CN"/>
        </w:rPr>
        <w:t>（</w:t>
      </w:r>
      <w:r>
        <w:rPr>
          <w:rFonts w:hint="eastAsia"/>
          <w:sz w:val="24"/>
          <w:lang w:val="en-US" w:eastAsia="zh-CN"/>
        </w:rPr>
        <w:t>2</w:t>
      </w:r>
      <w:r>
        <w:rPr>
          <w:rFonts w:hint="eastAsia"/>
          <w:sz w:val="24"/>
          <w:lang w:eastAsia="zh-CN"/>
        </w:rPr>
        <w:t>）</w:t>
      </w:r>
      <w:r>
        <w:rPr>
          <w:sz w:val="24"/>
        </w:rPr>
        <w:t>具有良好的商业信誉和健全的财务会计制度；</w:t>
      </w:r>
    </w:p>
    <w:p>
      <w:pPr>
        <w:pStyle w:val="7"/>
        <w:numPr>
          <w:ilvl w:val="0"/>
          <w:numId w:val="0"/>
        </w:numPr>
        <w:tabs>
          <w:tab w:val="left" w:pos="1694"/>
        </w:tabs>
        <w:spacing w:before="160" w:after="0" w:line="240" w:lineRule="auto"/>
        <w:ind w:right="0" w:rightChars="0" w:firstLine="480" w:firstLineChars="200"/>
        <w:jc w:val="left"/>
        <w:rPr>
          <w:sz w:val="24"/>
        </w:rPr>
      </w:pPr>
      <w:r>
        <w:rPr>
          <w:rFonts w:hint="eastAsia"/>
          <w:sz w:val="24"/>
          <w:lang w:eastAsia="zh-CN"/>
        </w:rPr>
        <w:t>（</w:t>
      </w:r>
      <w:r>
        <w:rPr>
          <w:rFonts w:hint="eastAsia"/>
          <w:sz w:val="24"/>
          <w:lang w:val="en-US" w:eastAsia="zh-CN"/>
        </w:rPr>
        <w:t>3</w:t>
      </w:r>
      <w:r>
        <w:rPr>
          <w:rFonts w:hint="eastAsia"/>
          <w:sz w:val="24"/>
          <w:lang w:eastAsia="zh-CN"/>
        </w:rPr>
        <w:t>）</w:t>
      </w:r>
      <w:r>
        <w:rPr>
          <w:sz w:val="24"/>
        </w:rPr>
        <w:t>具有履行合同所必需的设备和专业技术能力；</w:t>
      </w:r>
    </w:p>
    <w:p>
      <w:pPr>
        <w:pStyle w:val="7"/>
        <w:numPr>
          <w:ilvl w:val="0"/>
          <w:numId w:val="0"/>
        </w:numPr>
        <w:tabs>
          <w:tab w:val="left" w:pos="1694"/>
        </w:tabs>
        <w:spacing w:before="158" w:after="0" w:line="240" w:lineRule="auto"/>
        <w:ind w:right="0" w:rightChars="0" w:firstLine="480" w:firstLineChars="200"/>
        <w:jc w:val="left"/>
        <w:rPr>
          <w:sz w:val="24"/>
        </w:rPr>
      </w:pPr>
      <w:r>
        <w:rPr>
          <w:rFonts w:hint="eastAsia"/>
          <w:sz w:val="24"/>
          <w:lang w:eastAsia="zh-CN"/>
        </w:rPr>
        <w:t>（</w:t>
      </w:r>
      <w:r>
        <w:rPr>
          <w:rFonts w:hint="eastAsia"/>
          <w:sz w:val="24"/>
          <w:lang w:val="en-US" w:eastAsia="zh-CN"/>
        </w:rPr>
        <w:t>4</w:t>
      </w:r>
      <w:r>
        <w:rPr>
          <w:rFonts w:hint="eastAsia"/>
          <w:sz w:val="24"/>
          <w:lang w:eastAsia="zh-CN"/>
        </w:rPr>
        <w:t>）</w:t>
      </w:r>
      <w:r>
        <w:rPr>
          <w:sz w:val="24"/>
        </w:rPr>
        <w:t>有依法缴纳税收和社会保障资金的良好记录；</w:t>
      </w:r>
    </w:p>
    <w:p>
      <w:pPr>
        <w:pStyle w:val="7"/>
        <w:numPr>
          <w:ilvl w:val="0"/>
          <w:numId w:val="0"/>
        </w:numPr>
        <w:tabs>
          <w:tab w:val="left" w:pos="1694"/>
        </w:tabs>
        <w:spacing w:before="161" w:after="0" w:line="240" w:lineRule="auto"/>
        <w:ind w:right="0" w:rightChars="0" w:firstLine="480" w:firstLineChars="200"/>
        <w:jc w:val="left"/>
        <w:rPr>
          <w:sz w:val="24"/>
        </w:rPr>
      </w:pPr>
      <w:r>
        <w:rPr>
          <w:rFonts w:hint="eastAsia"/>
          <w:sz w:val="24"/>
          <w:lang w:eastAsia="zh-CN"/>
        </w:rPr>
        <w:t>（</w:t>
      </w:r>
      <w:r>
        <w:rPr>
          <w:rFonts w:hint="eastAsia"/>
          <w:sz w:val="24"/>
          <w:lang w:val="en-US" w:eastAsia="zh-CN"/>
        </w:rPr>
        <w:t>5</w:t>
      </w:r>
      <w:r>
        <w:rPr>
          <w:rFonts w:hint="eastAsia"/>
          <w:sz w:val="24"/>
          <w:lang w:eastAsia="zh-CN"/>
        </w:rPr>
        <w:t>）</w:t>
      </w:r>
      <w:r>
        <w:rPr>
          <w:sz w:val="24"/>
        </w:rPr>
        <w:t>参加政府采购活动前三年内，在经营活动中没有重大违法记录；</w:t>
      </w:r>
    </w:p>
    <w:p>
      <w:pPr>
        <w:pStyle w:val="7"/>
        <w:numPr>
          <w:ilvl w:val="0"/>
          <w:numId w:val="0"/>
        </w:numPr>
        <w:tabs>
          <w:tab w:val="left" w:pos="1694"/>
        </w:tabs>
        <w:spacing w:before="158" w:after="0" w:line="360" w:lineRule="auto"/>
        <w:ind w:right="0" w:rightChars="0" w:firstLine="480" w:firstLineChars="200"/>
        <w:jc w:val="left"/>
        <w:rPr>
          <w:sz w:val="24"/>
        </w:rPr>
      </w:pPr>
      <w:r>
        <w:rPr>
          <w:rFonts w:hint="eastAsia"/>
          <w:sz w:val="24"/>
          <w:lang w:eastAsia="zh-CN"/>
        </w:rPr>
        <w:t>（</w:t>
      </w:r>
      <w:r>
        <w:rPr>
          <w:rFonts w:hint="eastAsia"/>
          <w:sz w:val="24"/>
          <w:lang w:val="en-US" w:eastAsia="zh-CN"/>
        </w:rPr>
        <w:t>6</w:t>
      </w:r>
      <w:r>
        <w:rPr>
          <w:rFonts w:hint="eastAsia"/>
          <w:sz w:val="24"/>
          <w:lang w:eastAsia="zh-CN"/>
        </w:rPr>
        <w:t>）</w:t>
      </w:r>
      <w:r>
        <w:rPr>
          <w:sz w:val="24"/>
        </w:rPr>
        <w:t>法律、行政法规规定的其他条件。</w:t>
      </w:r>
    </w:p>
    <w:p>
      <w:pPr>
        <w:spacing w:line="360" w:lineRule="auto"/>
        <w:ind w:firstLine="480" w:firstLineChars="200"/>
        <w:rPr>
          <w:rFonts w:hint="eastAsia"/>
          <w:sz w:val="24"/>
          <w:highlight w:val="none"/>
          <w:lang w:val="en-US" w:eastAsia="zh-CN"/>
        </w:rPr>
      </w:pPr>
      <w:r>
        <w:rPr>
          <w:rFonts w:hint="eastAsia"/>
          <w:sz w:val="24"/>
          <w:highlight w:val="none"/>
          <w:lang w:val="en-US" w:eastAsia="zh-CN"/>
        </w:rPr>
        <w:t>2.供应商还须具备以下条件：</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rPr>
        <w:t>（1）</w:t>
      </w:r>
      <w:r>
        <w:rPr>
          <w:rFonts w:hint="eastAsia" w:cs="宋体"/>
          <w:sz w:val="24"/>
          <w:szCs w:val="24"/>
          <w:lang w:eastAsia="zh-CN"/>
        </w:rPr>
        <w:t>供应商</w:t>
      </w:r>
      <w:r>
        <w:rPr>
          <w:rFonts w:hint="eastAsia" w:ascii="宋体" w:hAnsi="宋体" w:cs="宋体"/>
          <w:sz w:val="24"/>
          <w:szCs w:val="24"/>
        </w:rPr>
        <w:t>为工商管理部门注册的具备相应经营范围的独立法人</w:t>
      </w:r>
      <w:r>
        <w:rPr>
          <w:rFonts w:hint="eastAsia" w:cs="宋体"/>
          <w:sz w:val="24"/>
          <w:szCs w:val="24"/>
          <w:lang w:eastAsia="zh-CN"/>
        </w:rPr>
        <w:t>、其他组织或自然人</w:t>
      </w:r>
      <w:r>
        <w:rPr>
          <w:rFonts w:hint="eastAsia" w:ascii="宋体" w:hAnsi="宋体" w:cs="宋体"/>
          <w:sz w:val="24"/>
          <w:szCs w:val="24"/>
        </w:rPr>
        <w:t>。近三年无违</w:t>
      </w:r>
      <w:r>
        <w:rPr>
          <w:rFonts w:hint="eastAsia" w:ascii="宋体" w:hAnsi="宋体" w:cs="宋体"/>
          <w:sz w:val="24"/>
          <w:szCs w:val="24"/>
          <w:highlight w:val="none"/>
        </w:rPr>
        <w:t>法违规行为，没有处于被责令停业或破产状态，且资产未被重组、接管和冻结；</w:t>
      </w:r>
    </w:p>
    <w:p>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（2）供应商须具备相关部门批准成立的会计师事务所；供应商拟派项目负责人须具</w:t>
      </w:r>
      <w:r>
        <w:rPr>
          <w:rFonts w:hint="eastAsia" w:cs="宋体"/>
          <w:sz w:val="24"/>
          <w:szCs w:val="24"/>
          <w:highlight w:val="none"/>
          <w:lang w:eastAsia="zh-CN"/>
        </w:rPr>
        <w:t>有</w:t>
      </w:r>
      <w:r>
        <w:rPr>
          <w:rFonts w:hint="eastAsia" w:ascii="宋体" w:hAnsi="宋体" w:cs="宋体"/>
          <w:sz w:val="24"/>
          <w:szCs w:val="24"/>
          <w:highlight w:val="none"/>
        </w:rPr>
        <w:t>全国注册会计师</w:t>
      </w:r>
      <w:r>
        <w:rPr>
          <w:rFonts w:hint="eastAsia" w:cs="宋体"/>
          <w:sz w:val="24"/>
          <w:szCs w:val="24"/>
          <w:highlight w:val="none"/>
          <w:lang w:eastAsia="zh-CN"/>
        </w:rPr>
        <w:t>证书（注册单位与本单位一致）</w:t>
      </w:r>
      <w:r>
        <w:rPr>
          <w:rFonts w:hint="eastAsia" w:cs="宋体"/>
          <w:sz w:val="24"/>
          <w:highlight w:val="none"/>
          <w:lang w:eastAsia="zh-CN"/>
        </w:rPr>
        <w:t>。</w:t>
      </w:r>
    </w:p>
    <w:p>
      <w:pPr>
        <w:pStyle w:val="4"/>
        <w:spacing w:line="360" w:lineRule="auto"/>
        <w:ind w:left="0" w:leftChars="0" w:right="63" w:firstLine="480" w:firstLineChars="200"/>
        <w:jc w:val="both"/>
        <w:rPr>
          <w:rFonts w:hint="eastAsia" w:ascii="宋体" w:hAnsi="宋体" w:cs="宋体"/>
          <w:sz w:val="24"/>
          <w:szCs w:val="24"/>
          <w:highlight w:val="none"/>
        </w:rPr>
      </w:pPr>
      <w:r>
        <w:rPr>
          <w:rFonts w:hint="eastAsia" w:ascii="宋体" w:hAnsi="宋体" w:cs="宋体"/>
          <w:sz w:val="24"/>
          <w:szCs w:val="24"/>
          <w:highlight w:val="none"/>
        </w:rPr>
        <w:t>（</w:t>
      </w:r>
      <w:r>
        <w:rPr>
          <w:rFonts w:hint="eastAsia" w:cs="宋体"/>
          <w:sz w:val="24"/>
          <w:szCs w:val="24"/>
          <w:highlight w:val="none"/>
          <w:lang w:val="en-US" w:eastAsia="zh-CN"/>
        </w:rPr>
        <w:t>3</w:t>
      </w:r>
      <w:r>
        <w:rPr>
          <w:rFonts w:hint="eastAsia" w:ascii="宋体" w:hAnsi="宋体" w:cs="宋体"/>
          <w:sz w:val="24"/>
          <w:szCs w:val="24"/>
          <w:highlight w:val="none"/>
        </w:rPr>
        <w:t>）</w:t>
      </w:r>
      <w:r>
        <w:rPr>
          <w:rFonts w:hint="eastAsia" w:cs="宋体"/>
          <w:sz w:val="24"/>
          <w:szCs w:val="24"/>
          <w:highlight w:val="none"/>
          <w:lang w:eastAsia="zh-CN"/>
        </w:rPr>
        <w:t>供应商</w:t>
      </w:r>
      <w:r>
        <w:rPr>
          <w:rFonts w:hint="eastAsia" w:ascii="Calibri" w:hAnsi="Calibri" w:cs="Calibri"/>
          <w:b w:val="0"/>
          <w:bCs w:val="0"/>
          <w:sz w:val="24"/>
          <w:szCs w:val="24"/>
          <w:highlight w:val="none"/>
          <w:lang w:val="en-US" w:eastAsia="zh-CN"/>
        </w:rPr>
        <w:t>2019年至今任意连续6个月</w:t>
      </w:r>
      <w:r>
        <w:rPr>
          <w:rFonts w:hint="eastAsia" w:ascii="宋体" w:hAnsi="宋体" w:cs="宋体"/>
          <w:b w:val="0"/>
          <w:bCs w:val="0"/>
          <w:sz w:val="24"/>
          <w:szCs w:val="24"/>
          <w:highlight w:val="none"/>
        </w:rPr>
        <w:t>依</w:t>
      </w:r>
      <w:r>
        <w:rPr>
          <w:rFonts w:hint="eastAsia" w:ascii="宋体" w:hAnsi="宋体" w:cs="宋体"/>
          <w:sz w:val="24"/>
          <w:szCs w:val="24"/>
          <w:highlight w:val="none"/>
        </w:rPr>
        <w:t>法缴纳税收和社会保障资金的良好记录。</w:t>
      </w:r>
    </w:p>
    <w:p>
      <w:pPr>
        <w:pStyle w:val="4"/>
        <w:spacing w:line="360" w:lineRule="auto"/>
        <w:ind w:left="0" w:leftChars="0" w:right="63" w:firstLine="480" w:firstLineChars="200"/>
        <w:jc w:val="both"/>
        <w:rPr>
          <w:rFonts w:hint="eastAsia" w:ascii="宋体" w:hAnsi="宋体" w:cs="宋体"/>
          <w:sz w:val="24"/>
          <w:szCs w:val="24"/>
          <w:highlight w:val="none"/>
        </w:rPr>
      </w:pPr>
      <w:r>
        <w:rPr>
          <w:rFonts w:hint="eastAsia" w:ascii="宋体" w:hAnsi="宋体" w:cs="宋体"/>
          <w:sz w:val="24"/>
          <w:szCs w:val="24"/>
          <w:highlight w:val="none"/>
        </w:rPr>
        <w:t>（</w:t>
      </w:r>
      <w:r>
        <w:rPr>
          <w:rFonts w:hint="eastAsia" w:cs="宋体"/>
          <w:sz w:val="24"/>
          <w:szCs w:val="24"/>
          <w:highlight w:val="none"/>
          <w:lang w:val="en-US" w:eastAsia="zh-CN"/>
        </w:rPr>
        <w:t>4</w:t>
      </w:r>
      <w:r>
        <w:rPr>
          <w:rFonts w:hint="eastAsia" w:ascii="宋体" w:hAnsi="宋体" w:cs="宋体"/>
          <w:sz w:val="24"/>
          <w:szCs w:val="24"/>
          <w:highlight w:val="none"/>
        </w:rPr>
        <w:t>）</w:t>
      </w:r>
      <w:r>
        <w:rPr>
          <w:rFonts w:hint="eastAsia" w:cs="宋体"/>
          <w:sz w:val="24"/>
          <w:szCs w:val="24"/>
          <w:highlight w:val="none"/>
          <w:lang w:eastAsia="zh-CN"/>
        </w:rPr>
        <w:t>供应商</w:t>
      </w:r>
      <w:r>
        <w:rPr>
          <w:rFonts w:hint="eastAsia" w:ascii="宋体" w:hAnsi="宋体" w:cs="宋体"/>
          <w:sz w:val="24"/>
          <w:szCs w:val="24"/>
          <w:highlight w:val="none"/>
        </w:rPr>
        <w:t>具备近一年（2019年）经会计师事务所审计的财务审计报告（包括资产负债表、现金流量表、利润表和财务情况说明书）（2020年新成立公司提供本公司基本账户开户银行出具的资信证明，且资信良好）。</w:t>
      </w:r>
    </w:p>
    <w:p>
      <w:pPr>
        <w:pStyle w:val="7"/>
        <w:numPr>
          <w:ilvl w:val="0"/>
          <w:numId w:val="0"/>
        </w:numPr>
        <w:tabs>
          <w:tab w:val="left" w:pos="976"/>
        </w:tabs>
        <w:spacing w:before="161" w:after="0" w:line="364" w:lineRule="auto"/>
        <w:ind w:right="251" w:rightChars="0" w:firstLine="480" w:firstLineChars="200"/>
        <w:jc w:val="both"/>
        <w:rPr>
          <w:rFonts w:hint="eastAsia"/>
          <w:sz w:val="24"/>
          <w:highlight w:val="none"/>
        </w:rPr>
      </w:pPr>
      <w:r>
        <w:rPr>
          <w:rFonts w:hint="eastAsia"/>
          <w:sz w:val="24"/>
          <w:highlight w:val="none"/>
          <w:lang w:val="en-US" w:eastAsia="zh-CN"/>
        </w:rPr>
        <w:t>3.</w:t>
      </w:r>
      <w:r>
        <w:rPr>
          <w:rFonts w:hint="eastAsia"/>
          <w:sz w:val="24"/>
          <w:highlight w:val="none"/>
        </w:rPr>
        <w:t>按照《财政部关于在政府采购活动中查询及使用信用记录有关问题的通知》（财库﹝2016﹞125号）的要求，根据“信用中国”网站（www.creditchina.gov.cn）和“中国政府采购网”（www.ccgp.gov.cn）的信息，对列入失信被执行人、重大税收违法案件当事人名单、政府采购严重违法失信行为记录名单的供应商，拒绝其参与政府采购活动。</w:t>
      </w:r>
    </w:p>
    <w:p>
      <w:pPr>
        <w:pStyle w:val="7"/>
        <w:numPr>
          <w:ilvl w:val="0"/>
          <w:numId w:val="0"/>
        </w:numPr>
        <w:tabs>
          <w:tab w:val="left" w:pos="976"/>
        </w:tabs>
        <w:spacing w:before="161" w:after="0" w:line="364" w:lineRule="auto"/>
        <w:ind w:right="251" w:rightChars="0" w:firstLine="480" w:firstLineChars="200"/>
        <w:jc w:val="both"/>
        <w:rPr>
          <w:rFonts w:hint="eastAsia"/>
          <w:sz w:val="24"/>
          <w:highlight w:val="none"/>
        </w:rPr>
      </w:pPr>
      <w:r>
        <w:rPr>
          <w:rFonts w:hint="eastAsia"/>
          <w:sz w:val="24"/>
          <w:highlight w:val="none"/>
          <w:lang w:val="en-US" w:eastAsia="zh-CN"/>
        </w:rPr>
        <w:t>4.</w:t>
      </w:r>
      <w:r>
        <w:rPr>
          <w:rFonts w:hint="eastAsia"/>
          <w:sz w:val="24"/>
          <w:highlight w:val="none"/>
        </w:rPr>
        <w:t>单位负责人为同一人或者存在直接控股、管理关系的不同供应商，不得参加同一合同项下的政府采购活动；</w:t>
      </w:r>
    </w:p>
    <w:p>
      <w:pPr>
        <w:pStyle w:val="7"/>
        <w:numPr>
          <w:ilvl w:val="0"/>
          <w:numId w:val="0"/>
        </w:numPr>
        <w:tabs>
          <w:tab w:val="left" w:pos="974"/>
        </w:tabs>
        <w:spacing w:before="0" w:after="0" w:line="304" w:lineRule="exact"/>
        <w:ind w:right="0" w:rightChars="0" w:firstLine="480" w:firstLineChars="200"/>
        <w:jc w:val="left"/>
        <w:rPr>
          <w:sz w:val="24"/>
          <w:highlight w:val="none"/>
        </w:rPr>
      </w:pPr>
      <w:r>
        <w:rPr>
          <w:rFonts w:hint="eastAsia"/>
          <w:sz w:val="24"/>
          <w:highlight w:val="none"/>
          <w:lang w:val="en-US" w:eastAsia="zh-CN"/>
        </w:rPr>
        <w:t>5.</w:t>
      </w:r>
      <w:r>
        <w:rPr>
          <w:sz w:val="24"/>
          <w:highlight w:val="none"/>
        </w:rPr>
        <w:t>本项目不接受联合体投标。</w:t>
      </w:r>
    </w:p>
    <w:p>
      <w:pPr>
        <w:spacing w:before="160" w:line="360" w:lineRule="auto"/>
        <w:ind w:right="0"/>
        <w:jc w:val="left"/>
        <w:outlineLvl w:val="1"/>
        <w:rPr>
          <w:b/>
          <w:sz w:val="24"/>
          <w:highlight w:val="none"/>
        </w:rPr>
      </w:pPr>
      <w:bookmarkStart w:id="13" w:name="_Toc24723"/>
      <w:bookmarkStart w:id="14" w:name="_Toc16907"/>
      <w:bookmarkStart w:id="15" w:name="_Toc30773"/>
      <w:bookmarkStart w:id="16" w:name="_Toc6823"/>
      <w:r>
        <w:rPr>
          <w:b/>
          <w:sz w:val="24"/>
          <w:highlight w:val="none"/>
        </w:rPr>
        <w:t>三、获取竞争性磋商文件的时间、地点、方式</w:t>
      </w:r>
      <w:bookmarkEnd w:id="13"/>
      <w:bookmarkEnd w:id="14"/>
      <w:bookmarkEnd w:id="15"/>
      <w:bookmarkEnd w:id="16"/>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 w:beforeAutospacing="0" w:after="0" w:afterAutospacing="0" w:line="360" w:lineRule="auto"/>
        <w:ind w:right="440" w:firstLine="480" w:firstLineChars="200"/>
        <w:jc w:val="both"/>
        <w:rPr>
          <w:rFonts w:hint="eastAsia" w:ascii="宋体" w:hAnsi="宋体" w:eastAsia="宋体" w:cs="宋体"/>
          <w:sz w:val="24"/>
          <w:szCs w:val="22"/>
          <w:highlight w:val="none"/>
          <w:lang w:val="zh-CN" w:eastAsia="zh-CN" w:bidi="zh-CN"/>
        </w:rPr>
      </w:pPr>
      <w:r>
        <w:rPr>
          <w:rFonts w:hint="eastAsia" w:ascii="宋体" w:hAnsi="宋体" w:eastAsia="宋体" w:cs="宋体"/>
          <w:sz w:val="24"/>
          <w:szCs w:val="22"/>
          <w:highlight w:val="none"/>
          <w:lang w:val="en-US" w:eastAsia="zh-CN" w:bidi="zh-CN"/>
        </w:rPr>
        <w:t>1.</w:t>
      </w:r>
      <w:r>
        <w:rPr>
          <w:rFonts w:hint="eastAsia" w:ascii="宋体" w:hAnsi="宋体" w:eastAsia="宋体" w:cs="宋体"/>
          <w:sz w:val="24"/>
          <w:szCs w:val="22"/>
          <w:highlight w:val="none"/>
          <w:lang w:val="zh-CN" w:eastAsia="zh-CN" w:bidi="zh-CN"/>
        </w:rPr>
        <w:t>符合上述条件的供应商登录通辽市公共资源交易中心网站（http://ggzy.tongliao.gov.cn），点击“政府采购”中的信息公告栏，浏览采购信息。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 w:beforeAutospacing="0" w:after="0" w:afterAutospacing="0" w:line="360" w:lineRule="auto"/>
        <w:ind w:right="440" w:firstLine="480" w:firstLineChars="200"/>
        <w:jc w:val="both"/>
        <w:rPr>
          <w:rFonts w:hint="eastAsia" w:ascii="宋体" w:hAnsi="宋体" w:eastAsia="宋体" w:cs="宋体"/>
          <w:sz w:val="24"/>
          <w:szCs w:val="22"/>
          <w:highlight w:val="none"/>
          <w:lang w:val="zh-CN" w:eastAsia="zh-CN" w:bidi="zh-CN"/>
        </w:rPr>
      </w:pPr>
      <w:r>
        <w:rPr>
          <w:rFonts w:hint="eastAsia" w:ascii="宋体" w:hAnsi="宋体" w:eastAsia="宋体" w:cs="宋体"/>
          <w:sz w:val="24"/>
          <w:szCs w:val="22"/>
          <w:highlight w:val="none"/>
          <w:lang w:val="en-US" w:eastAsia="zh-CN" w:bidi="zh-CN"/>
        </w:rPr>
        <w:t>2.</w:t>
      </w:r>
      <w:r>
        <w:rPr>
          <w:rFonts w:hint="eastAsia" w:ascii="宋体" w:hAnsi="宋体" w:eastAsia="宋体" w:cs="宋体"/>
          <w:sz w:val="24"/>
          <w:szCs w:val="22"/>
          <w:highlight w:val="none"/>
          <w:lang w:val="zh-CN" w:eastAsia="zh-CN" w:bidi="zh-CN"/>
        </w:rPr>
        <w:t>确认参加投标的供应商应在</w:t>
      </w:r>
      <w:r>
        <w:rPr>
          <w:rFonts w:hint="eastAsia" w:ascii="宋体" w:hAnsi="宋体" w:eastAsia="宋体" w:cs="宋体"/>
          <w:color w:val="auto"/>
          <w:sz w:val="24"/>
          <w:szCs w:val="22"/>
          <w:highlight w:val="none"/>
          <w:lang w:val="zh-CN" w:eastAsia="zh-CN" w:bidi="zh-CN"/>
        </w:rPr>
        <w:t>2020年</w:t>
      </w:r>
      <w:r>
        <w:rPr>
          <w:rFonts w:hint="eastAsia" w:cs="宋体"/>
          <w:color w:val="auto"/>
          <w:sz w:val="24"/>
          <w:szCs w:val="22"/>
          <w:highlight w:val="none"/>
          <w:lang w:val="en-US" w:eastAsia="zh-CN" w:bidi="zh-CN"/>
        </w:rPr>
        <w:t>09</w:t>
      </w:r>
      <w:r>
        <w:rPr>
          <w:rFonts w:hint="eastAsia" w:ascii="宋体" w:hAnsi="宋体" w:eastAsia="宋体" w:cs="宋体"/>
          <w:color w:val="auto"/>
          <w:sz w:val="24"/>
          <w:szCs w:val="22"/>
          <w:highlight w:val="none"/>
          <w:lang w:val="zh-CN" w:eastAsia="zh-CN" w:bidi="zh-CN"/>
        </w:rPr>
        <w:t>月</w:t>
      </w:r>
      <w:r>
        <w:rPr>
          <w:rFonts w:hint="eastAsia" w:cs="宋体"/>
          <w:color w:val="auto"/>
          <w:sz w:val="24"/>
          <w:szCs w:val="22"/>
          <w:highlight w:val="none"/>
          <w:lang w:val="en-US" w:eastAsia="zh-CN" w:bidi="zh-CN"/>
        </w:rPr>
        <w:t>17</w:t>
      </w:r>
      <w:r>
        <w:rPr>
          <w:rFonts w:hint="eastAsia" w:ascii="宋体" w:hAnsi="宋体" w:eastAsia="宋体" w:cs="宋体"/>
          <w:color w:val="auto"/>
          <w:sz w:val="24"/>
          <w:szCs w:val="22"/>
          <w:highlight w:val="none"/>
          <w:lang w:val="zh-CN" w:eastAsia="zh-CN" w:bidi="zh-CN"/>
        </w:rPr>
        <w:t>日至2020年</w:t>
      </w:r>
      <w:r>
        <w:rPr>
          <w:rFonts w:hint="eastAsia" w:cs="宋体"/>
          <w:color w:val="auto"/>
          <w:sz w:val="24"/>
          <w:szCs w:val="22"/>
          <w:highlight w:val="none"/>
          <w:lang w:val="en-US" w:eastAsia="zh-CN" w:bidi="zh-CN"/>
        </w:rPr>
        <w:t>09</w:t>
      </w:r>
      <w:r>
        <w:rPr>
          <w:rFonts w:hint="eastAsia" w:ascii="宋体" w:hAnsi="宋体" w:eastAsia="宋体" w:cs="宋体"/>
          <w:color w:val="auto"/>
          <w:sz w:val="24"/>
          <w:szCs w:val="22"/>
          <w:highlight w:val="none"/>
          <w:lang w:val="zh-CN" w:eastAsia="zh-CN" w:bidi="zh-CN"/>
        </w:rPr>
        <w:t>月</w:t>
      </w:r>
      <w:r>
        <w:rPr>
          <w:rFonts w:hint="eastAsia" w:cs="宋体"/>
          <w:color w:val="auto"/>
          <w:sz w:val="24"/>
          <w:szCs w:val="22"/>
          <w:highlight w:val="none"/>
          <w:lang w:val="en-US" w:eastAsia="zh-CN" w:bidi="zh-CN"/>
        </w:rPr>
        <w:t>23</w:t>
      </w:r>
      <w:r>
        <w:rPr>
          <w:rFonts w:hint="eastAsia" w:ascii="宋体" w:hAnsi="宋体" w:eastAsia="宋体" w:cs="宋体"/>
          <w:color w:val="auto"/>
          <w:sz w:val="24"/>
          <w:szCs w:val="22"/>
          <w:highlight w:val="none"/>
          <w:lang w:val="zh-CN" w:eastAsia="zh-CN" w:bidi="zh-CN"/>
        </w:rPr>
        <w:t>日</w:t>
      </w:r>
      <w:r>
        <w:rPr>
          <w:rFonts w:hint="eastAsia" w:ascii="宋体" w:hAnsi="宋体" w:eastAsia="宋体" w:cs="宋体"/>
          <w:sz w:val="24"/>
          <w:szCs w:val="22"/>
          <w:highlight w:val="none"/>
          <w:lang w:val="zh-CN" w:eastAsia="zh-CN" w:bidi="zh-CN"/>
        </w:rPr>
        <w:t>使用数字证书（CA）锁登录通辽市公共资源交易系统，下载竞争性磋商文件</w:t>
      </w:r>
      <w:r>
        <w:rPr>
          <w:rFonts w:hint="eastAsia" w:cs="宋体"/>
          <w:sz w:val="24"/>
          <w:szCs w:val="22"/>
          <w:highlight w:val="none"/>
          <w:lang w:val="zh-CN" w:eastAsia="zh-CN" w:bidi="zh-CN"/>
        </w:rPr>
        <w:t>（扩展名为TLZF版本的竞争性磋商文件必须下载）</w:t>
      </w:r>
      <w:r>
        <w:rPr>
          <w:rFonts w:hint="eastAsia" w:ascii="宋体" w:hAnsi="宋体" w:eastAsia="宋体" w:cs="宋体"/>
          <w:sz w:val="24"/>
          <w:szCs w:val="22"/>
          <w:highlight w:val="none"/>
          <w:lang w:val="zh-CN" w:eastAsia="zh-CN" w:bidi="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 w:beforeAutospacing="0" w:after="0" w:afterAutospacing="0" w:line="360" w:lineRule="auto"/>
        <w:ind w:right="440" w:firstLine="480" w:firstLineChars="200"/>
        <w:jc w:val="both"/>
        <w:rPr>
          <w:rFonts w:hint="eastAsia" w:ascii="宋体" w:hAnsi="宋体" w:eastAsia="宋体" w:cs="宋体"/>
          <w:sz w:val="24"/>
          <w:szCs w:val="22"/>
          <w:highlight w:val="none"/>
          <w:lang w:val="zh-CN" w:eastAsia="zh-CN" w:bidi="zh-CN"/>
        </w:rPr>
      </w:pPr>
      <w:r>
        <w:rPr>
          <w:rFonts w:hint="eastAsia" w:ascii="宋体" w:hAnsi="宋体" w:eastAsia="宋体" w:cs="宋体"/>
          <w:sz w:val="24"/>
          <w:szCs w:val="22"/>
          <w:highlight w:val="none"/>
          <w:lang w:val="en-US" w:eastAsia="zh-CN" w:bidi="zh-CN"/>
        </w:rPr>
        <w:t>3.</w:t>
      </w:r>
      <w:r>
        <w:rPr>
          <w:rFonts w:hint="eastAsia" w:ascii="宋体" w:hAnsi="宋体" w:eastAsia="宋体" w:cs="宋体"/>
          <w:sz w:val="24"/>
          <w:szCs w:val="22"/>
          <w:highlight w:val="none"/>
          <w:lang w:val="zh-CN" w:eastAsia="zh-CN" w:bidi="zh-CN"/>
        </w:rPr>
        <w:t>没有入库的企业须需登录通辽市公共资源交易中心网站（http://ggzy.tongliao.gov.cn）进行诚信库注册，在诚信库注册后，按要求录入并提交基本信息的，系统将自动通过，无须携带资料到现场进行比对，用户务必保证在诚信库中录入的信息合法合规、真实有效，所产生的一切法律后果均由用户自行承担。具体事宜详见《通辽市公共资源交易中心关于取消诚信库现场比对环节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 w:beforeAutospacing="0" w:after="0" w:afterAutospacing="0" w:line="360" w:lineRule="auto"/>
        <w:ind w:right="440" w:firstLine="480" w:firstLineChars="200"/>
        <w:jc w:val="both"/>
        <w:rPr>
          <w:rFonts w:hint="eastAsia" w:ascii="宋体" w:hAnsi="宋体" w:eastAsia="宋体" w:cs="宋体"/>
          <w:sz w:val="24"/>
          <w:szCs w:val="22"/>
          <w:highlight w:val="none"/>
          <w:lang w:val="zh-CN" w:eastAsia="zh-CN" w:bidi="zh-CN"/>
        </w:rPr>
      </w:pPr>
      <w:r>
        <w:rPr>
          <w:rFonts w:hint="eastAsia" w:ascii="宋体" w:hAnsi="宋体" w:eastAsia="宋体" w:cs="宋体"/>
          <w:sz w:val="24"/>
          <w:szCs w:val="22"/>
          <w:highlight w:val="none"/>
          <w:lang w:val="en-US" w:eastAsia="zh-CN" w:bidi="zh-CN"/>
        </w:rPr>
        <w:t>4.</w:t>
      </w:r>
      <w:r>
        <w:rPr>
          <w:rFonts w:hint="eastAsia" w:ascii="宋体" w:hAnsi="宋体" w:eastAsia="宋体" w:cs="宋体"/>
          <w:sz w:val="24"/>
          <w:szCs w:val="22"/>
          <w:highlight w:val="none"/>
          <w:lang w:val="zh-CN" w:eastAsia="zh-CN" w:bidi="zh-CN"/>
        </w:rPr>
        <w:t>递交响应文件方式：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 w:beforeAutospacing="0" w:after="0" w:afterAutospacing="0" w:line="360" w:lineRule="auto"/>
        <w:ind w:right="440" w:firstLine="480" w:firstLineChars="200"/>
        <w:jc w:val="both"/>
        <w:rPr>
          <w:rFonts w:hint="eastAsia" w:ascii="宋体" w:hAnsi="宋体" w:eastAsia="宋体" w:cs="宋体"/>
          <w:sz w:val="24"/>
          <w:szCs w:val="22"/>
          <w:highlight w:val="none"/>
          <w:lang w:val="zh-CN" w:eastAsia="zh-CN" w:bidi="zh-CN"/>
        </w:rPr>
      </w:pPr>
      <w:r>
        <w:rPr>
          <w:rFonts w:hint="eastAsia" w:ascii="宋体" w:hAnsi="宋体" w:eastAsia="宋体" w:cs="宋体"/>
          <w:sz w:val="24"/>
          <w:szCs w:val="22"/>
          <w:highlight w:val="none"/>
          <w:lang w:val="zh-CN" w:eastAsia="zh-CN" w:bidi="zh-CN"/>
        </w:rPr>
        <w:t>（1）响应供应商应在响应文件递交的截止时间前，依据下载获取的电子版招标文件（扩展名TLZF）</w:t>
      </w:r>
      <w:r>
        <w:rPr>
          <w:rFonts w:hint="eastAsia" w:cs="宋体"/>
          <w:sz w:val="24"/>
          <w:szCs w:val="22"/>
          <w:highlight w:val="none"/>
          <w:lang w:val="zh-CN" w:eastAsia="zh-CN" w:bidi="zh-CN"/>
        </w:rPr>
        <w:t>，</w:t>
      </w:r>
      <w:r>
        <w:rPr>
          <w:rFonts w:hint="eastAsia" w:ascii="宋体" w:hAnsi="宋体" w:eastAsia="宋体" w:cs="宋体"/>
          <w:sz w:val="24"/>
          <w:szCs w:val="22"/>
          <w:highlight w:val="none"/>
          <w:lang w:val="zh-CN" w:eastAsia="zh-CN" w:bidi="zh-CN"/>
        </w:rPr>
        <w:t>使用“新点响应文件制作软件(通辽版)”生成的电子版加密响应文件（扩展名为TLTF），在通辽市公共资源电子交易平台响应供应商系统内上传电子版加密响应文件。同时，将使用“新点响应文件制作软件(通辽版)”生成的电子版非加密响应文件（扩展名为nTLTF）拷贝至U盘内，在响应文件递交的截止时间前，携带至磋商地点。逾期未在系统内上传电子版加密响应文件（扩展名为TLTF）或开标未携带电子版非加密响应文件（扩展名为nTLTF）U盘的，采购人不予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 w:beforeAutospacing="0" w:after="0" w:afterAutospacing="0" w:line="360" w:lineRule="auto"/>
        <w:ind w:left="0" w:right="440" w:firstLine="544"/>
        <w:jc w:val="both"/>
        <w:rPr>
          <w:rFonts w:hint="eastAsia" w:ascii="宋体" w:hAnsi="宋体" w:eastAsia="宋体" w:cs="宋体"/>
          <w:sz w:val="24"/>
          <w:szCs w:val="22"/>
          <w:highlight w:val="none"/>
          <w:lang w:val="zh-CN" w:eastAsia="zh-CN" w:bidi="zh-CN"/>
        </w:rPr>
      </w:pPr>
      <w:r>
        <w:rPr>
          <w:rFonts w:hint="eastAsia" w:ascii="宋体" w:hAnsi="宋体" w:eastAsia="宋体" w:cs="宋体"/>
          <w:sz w:val="24"/>
          <w:szCs w:val="22"/>
          <w:highlight w:val="none"/>
          <w:lang w:val="zh-CN" w:eastAsia="zh-CN" w:bidi="zh-CN"/>
        </w:rPr>
        <w:t>（2）供应商除按（1）款递交电子版响应文件外，还应按竞争性磋商文件规定的时间和地点密封递交纸质响应文件。逾期未送达的，采购人不予受理。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 w:beforeAutospacing="0" w:after="0" w:afterAutospacing="0" w:line="360" w:lineRule="auto"/>
        <w:ind w:left="0" w:right="440" w:firstLine="544"/>
        <w:jc w:val="both"/>
        <w:rPr>
          <w:rFonts w:hint="eastAsia" w:ascii="宋体" w:hAnsi="宋体" w:eastAsia="宋体" w:cs="宋体"/>
          <w:sz w:val="24"/>
          <w:szCs w:val="22"/>
          <w:highlight w:val="none"/>
          <w:lang w:val="zh-CN" w:eastAsia="zh-CN" w:bidi="zh-CN"/>
        </w:rPr>
      </w:pPr>
      <w:r>
        <w:rPr>
          <w:rFonts w:hint="eastAsia" w:ascii="宋体" w:hAnsi="宋体" w:eastAsia="宋体" w:cs="宋体"/>
          <w:sz w:val="24"/>
          <w:szCs w:val="22"/>
          <w:highlight w:val="none"/>
          <w:lang w:val="zh-CN" w:eastAsia="zh-CN" w:bidi="zh-CN"/>
        </w:rPr>
        <w:t>（3）递交响应文件同时，供应商必须携带制作电子响应文件使用的数字证书（CA）锁，以便完成电子招投标流程。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 w:beforeAutospacing="0" w:after="0" w:afterAutospacing="0" w:line="360" w:lineRule="auto"/>
        <w:ind w:left="0" w:right="440" w:firstLine="544"/>
        <w:jc w:val="both"/>
        <w:rPr>
          <w:rFonts w:hint="eastAsia" w:ascii="宋体" w:hAnsi="宋体" w:eastAsia="宋体" w:cs="宋体"/>
          <w:sz w:val="24"/>
          <w:szCs w:val="22"/>
          <w:highlight w:val="none"/>
          <w:lang w:val="zh-CN" w:eastAsia="zh-CN" w:bidi="zh-CN"/>
        </w:rPr>
      </w:pPr>
      <w:r>
        <w:rPr>
          <w:rFonts w:hint="eastAsia" w:cs="宋体"/>
          <w:sz w:val="24"/>
          <w:szCs w:val="22"/>
          <w:highlight w:val="none"/>
          <w:lang w:val="zh-CN" w:eastAsia="zh-CN" w:bidi="zh-CN"/>
        </w:rPr>
        <w:t>（</w:t>
      </w:r>
      <w:r>
        <w:rPr>
          <w:rFonts w:hint="eastAsia" w:cs="宋体"/>
          <w:sz w:val="24"/>
          <w:szCs w:val="22"/>
          <w:highlight w:val="none"/>
          <w:lang w:val="en-US" w:eastAsia="zh-CN" w:bidi="zh-CN"/>
        </w:rPr>
        <w:t>4</w:t>
      </w:r>
      <w:r>
        <w:rPr>
          <w:rFonts w:hint="eastAsia" w:cs="宋体"/>
          <w:sz w:val="24"/>
          <w:szCs w:val="22"/>
          <w:highlight w:val="none"/>
          <w:lang w:val="zh-CN" w:eastAsia="zh-CN" w:bidi="zh-CN"/>
        </w:rPr>
        <w:t>）</w:t>
      </w:r>
      <w:r>
        <w:rPr>
          <w:rFonts w:hint="eastAsia" w:ascii="宋体" w:hAnsi="宋体" w:eastAsia="宋体" w:cs="宋体"/>
          <w:sz w:val="24"/>
          <w:szCs w:val="22"/>
          <w:highlight w:val="none"/>
          <w:lang w:val="zh-CN" w:eastAsia="zh-CN" w:bidi="zh-CN"/>
        </w:rPr>
        <w:t>本项目</w:t>
      </w:r>
      <w:r>
        <w:rPr>
          <w:rFonts w:hint="eastAsia" w:cs="宋体"/>
          <w:sz w:val="24"/>
          <w:szCs w:val="22"/>
          <w:highlight w:val="none"/>
          <w:lang w:val="zh-CN" w:eastAsia="zh-CN" w:bidi="zh-CN"/>
        </w:rPr>
        <w:t>竞争性磋商</w:t>
      </w:r>
      <w:r>
        <w:rPr>
          <w:rFonts w:hint="eastAsia" w:ascii="宋体" w:hAnsi="宋体" w:eastAsia="宋体" w:cs="宋体"/>
          <w:sz w:val="24"/>
          <w:szCs w:val="22"/>
          <w:highlight w:val="none"/>
          <w:lang w:val="zh-CN" w:eastAsia="zh-CN" w:bidi="zh-CN"/>
        </w:rPr>
        <w:t>文件已同步在通辽市公共资源交易中心网上发布，此文件仅供供应商了解项目情况，供应商确认参与此项目的，请务必在通辽市公共资源电子交易系统内进行交易文件下载操作。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 w:beforeAutospacing="0" w:after="0" w:afterAutospacing="0" w:line="360" w:lineRule="auto"/>
        <w:ind w:left="0" w:right="440" w:firstLine="544"/>
        <w:jc w:val="both"/>
        <w:rPr>
          <w:rFonts w:hint="eastAsia" w:ascii="宋体" w:hAnsi="宋体" w:eastAsia="宋体" w:cs="宋体"/>
          <w:sz w:val="24"/>
          <w:szCs w:val="22"/>
          <w:lang w:val="zh-CN" w:eastAsia="zh-CN" w:bidi="zh-CN"/>
        </w:rPr>
      </w:pPr>
      <w:r>
        <w:rPr>
          <w:rFonts w:hint="eastAsia" w:ascii="宋体" w:hAnsi="宋体" w:eastAsia="宋体" w:cs="宋体"/>
          <w:sz w:val="24"/>
          <w:szCs w:val="22"/>
          <w:lang w:val="zh-CN" w:eastAsia="zh-CN" w:bidi="zh-CN"/>
        </w:rPr>
        <w:t>（</w:t>
      </w:r>
      <w:r>
        <w:rPr>
          <w:rFonts w:hint="eastAsia" w:cs="宋体"/>
          <w:sz w:val="24"/>
          <w:szCs w:val="22"/>
          <w:lang w:val="en-US" w:eastAsia="zh-CN" w:bidi="zh-CN"/>
        </w:rPr>
        <w:t>5</w:t>
      </w:r>
      <w:r>
        <w:rPr>
          <w:rFonts w:hint="eastAsia" w:ascii="宋体" w:hAnsi="宋体" w:eastAsia="宋体" w:cs="宋体"/>
          <w:sz w:val="24"/>
          <w:szCs w:val="22"/>
          <w:lang w:val="zh-CN" w:eastAsia="zh-CN" w:bidi="zh-CN"/>
        </w:rPr>
        <w:t>）公告发布媒体：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 w:beforeAutospacing="0" w:after="0" w:afterAutospacing="0" w:line="360" w:lineRule="auto"/>
        <w:ind w:left="0" w:right="440" w:firstLine="544"/>
        <w:jc w:val="both"/>
        <w:rPr>
          <w:rFonts w:hint="eastAsia" w:ascii="宋体" w:hAnsi="宋体" w:eastAsia="宋体" w:cs="宋体"/>
          <w:sz w:val="24"/>
          <w:szCs w:val="22"/>
          <w:lang w:val="zh-CN" w:eastAsia="zh-CN" w:bidi="zh-CN"/>
        </w:rPr>
      </w:pPr>
      <w:r>
        <w:rPr>
          <w:rFonts w:hint="eastAsia" w:ascii="宋体" w:hAnsi="宋体" w:eastAsia="宋体" w:cs="宋体"/>
          <w:sz w:val="24"/>
          <w:szCs w:val="22"/>
          <w:lang w:val="zh-CN" w:eastAsia="zh-CN" w:bidi="zh-CN"/>
        </w:rPr>
        <w:t>内蒙古自治区政府采购网（http://www.nmgp.gov.cn）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 w:beforeAutospacing="0" w:after="0" w:afterAutospacing="0" w:line="360" w:lineRule="auto"/>
        <w:ind w:left="0" w:right="440" w:firstLine="544"/>
        <w:jc w:val="both"/>
        <w:rPr>
          <w:rFonts w:hint="eastAsia" w:ascii="宋体" w:hAnsi="宋体" w:eastAsia="宋体" w:cs="宋体"/>
          <w:sz w:val="24"/>
          <w:szCs w:val="22"/>
          <w:lang w:val="zh-CN" w:eastAsia="zh-CN" w:bidi="zh-CN"/>
        </w:rPr>
      </w:pPr>
      <w:r>
        <w:rPr>
          <w:rFonts w:hint="eastAsia" w:ascii="宋体" w:hAnsi="宋体" w:eastAsia="宋体" w:cs="宋体"/>
          <w:sz w:val="24"/>
          <w:szCs w:val="22"/>
          <w:lang w:val="zh-CN" w:eastAsia="zh-CN" w:bidi="zh-CN"/>
        </w:rPr>
        <w:t>通辽市公共资源交易中心（http://ggzy.tongliao.gov.cn）</w:t>
      </w:r>
    </w:p>
    <w:p>
      <w:pPr>
        <w:pStyle w:val="2"/>
        <w:spacing w:before="101" w:line="362" w:lineRule="auto"/>
        <w:ind w:right="254"/>
        <w:rPr>
          <w:rFonts w:hint="eastAsia" w:ascii="宋体" w:hAnsi="宋体" w:eastAsia="宋体" w:cs="宋体"/>
          <w:b/>
          <w:sz w:val="24"/>
          <w:szCs w:val="22"/>
          <w:lang w:val="zh-CN" w:eastAsia="zh-CN" w:bidi="zh-CN"/>
        </w:rPr>
      </w:pPr>
      <w:r>
        <w:rPr>
          <w:rFonts w:hint="eastAsia" w:ascii="宋体" w:hAnsi="宋体" w:eastAsia="宋体" w:cs="宋体"/>
          <w:b/>
          <w:sz w:val="24"/>
          <w:szCs w:val="22"/>
          <w:lang w:val="zh-CN" w:eastAsia="zh-CN" w:bidi="zh-CN"/>
        </w:rPr>
        <w:t>四、</w:t>
      </w:r>
      <w:r>
        <w:rPr>
          <w:rFonts w:hint="eastAsia" w:cs="宋体"/>
          <w:b/>
          <w:sz w:val="24"/>
          <w:szCs w:val="22"/>
          <w:lang w:val="zh-CN" w:eastAsia="zh-CN" w:bidi="zh-CN"/>
        </w:rPr>
        <w:t>磋商</w:t>
      </w:r>
      <w:r>
        <w:rPr>
          <w:rFonts w:hint="eastAsia" w:ascii="宋体" w:hAnsi="宋体" w:eastAsia="宋体" w:cs="宋体"/>
          <w:b/>
          <w:sz w:val="24"/>
          <w:szCs w:val="22"/>
          <w:lang w:val="zh-CN" w:eastAsia="zh-CN" w:bidi="zh-CN"/>
        </w:rPr>
        <w:t>保证金</w:t>
      </w:r>
    </w:p>
    <w:p>
      <w:pPr>
        <w:pStyle w:val="2"/>
        <w:spacing w:before="101" w:line="362" w:lineRule="auto"/>
        <w:ind w:right="254" w:firstLine="480" w:firstLineChars="200"/>
        <w:rPr>
          <w:rFonts w:hint="eastAsia"/>
        </w:rPr>
      </w:pPr>
      <w:r>
        <w:rPr>
          <w:rFonts w:hint="eastAsia"/>
          <w:lang w:val="en-US" w:eastAsia="zh-CN"/>
        </w:rPr>
        <w:t>1.</w:t>
      </w:r>
      <w:r>
        <w:rPr>
          <w:rFonts w:hint="eastAsia"/>
          <w:lang w:eastAsia="zh-CN"/>
        </w:rPr>
        <w:t>磋商</w:t>
      </w:r>
      <w:r>
        <w:rPr>
          <w:rFonts w:hint="eastAsia"/>
        </w:rPr>
        <w:t>保证金交纳形式：供应商获取</w:t>
      </w:r>
      <w:r>
        <w:rPr>
          <w:rFonts w:hint="eastAsia"/>
          <w:lang w:eastAsia="zh-CN"/>
        </w:rPr>
        <w:t>竞争性磋商</w:t>
      </w:r>
      <w:r>
        <w:rPr>
          <w:rFonts w:hint="eastAsia"/>
        </w:rPr>
        <w:t>文件后，按要求从本单位基本账户中采用网银转账、电汇、银行柜面转账（不接受现金）的方式交纳本项目</w:t>
      </w:r>
      <w:r>
        <w:rPr>
          <w:rFonts w:hint="eastAsia"/>
          <w:lang w:eastAsia="zh-CN"/>
        </w:rPr>
        <w:t>磋商</w:t>
      </w:r>
      <w:r>
        <w:rPr>
          <w:rFonts w:hint="eastAsia"/>
        </w:rPr>
        <w:t>保证金。</w:t>
      </w:r>
    </w:p>
    <w:p>
      <w:pPr>
        <w:pStyle w:val="2"/>
        <w:spacing w:before="101" w:line="362" w:lineRule="auto"/>
        <w:ind w:right="-57" w:rightChars="0" w:firstLine="480" w:firstLineChars="200"/>
        <w:rPr>
          <w:rFonts w:hint="eastAsia"/>
        </w:rPr>
      </w:pPr>
      <w:r>
        <w:rPr>
          <w:rFonts w:hint="eastAsia"/>
          <w:lang w:val="en-US" w:eastAsia="zh-CN"/>
        </w:rPr>
        <w:t>2.</w:t>
      </w:r>
      <w:r>
        <w:rPr>
          <w:rFonts w:hint="eastAsia"/>
          <w:lang w:eastAsia="zh-CN"/>
        </w:rPr>
        <w:t>磋商</w:t>
      </w:r>
      <w:r>
        <w:rPr>
          <w:rFonts w:hint="eastAsia"/>
        </w:rPr>
        <w:t>保证金交纳时间：同</w:t>
      </w:r>
      <w:r>
        <w:rPr>
          <w:rFonts w:hint="eastAsia"/>
          <w:lang w:eastAsia="zh-CN"/>
        </w:rPr>
        <w:t>响应</w:t>
      </w:r>
      <w:r>
        <w:rPr>
          <w:rFonts w:hint="eastAsia"/>
        </w:rPr>
        <w:t>文件递交截止时间（以实际到账时间为准，约定时间以后到账的</w:t>
      </w:r>
      <w:r>
        <w:rPr>
          <w:rFonts w:hint="eastAsia"/>
          <w:lang w:eastAsia="zh-CN"/>
        </w:rPr>
        <w:t>磋商</w:t>
      </w:r>
      <w:r>
        <w:rPr>
          <w:rFonts w:hint="eastAsia"/>
        </w:rPr>
        <w:t>保证金，采购人视为不响应</w:t>
      </w:r>
      <w:r>
        <w:rPr>
          <w:rFonts w:hint="eastAsia"/>
          <w:lang w:eastAsia="zh-CN"/>
        </w:rPr>
        <w:t>竞争性磋商</w:t>
      </w:r>
      <w:r>
        <w:rPr>
          <w:rFonts w:hint="eastAsia"/>
        </w:rPr>
        <w:t>文件，将拒绝投标）。</w:t>
      </w:r>
    </w:p>
    <w:p>
      <w:pPr>
        <w:pStyle w:val="2"/>
        <w:spacing w:before="101" w:line="362" w:lineRule="auto"/>
        <w:ind w:right="254" w:firstLine="480" w:firstLineChars="200"/>
        <w:rPr>
          <w:rFonts w:hint="eastAsia"/>
        </w:rPr>
      </w:pPr>
      <w:r>
        <w:rPr>
          <w:rFonts w:hint="eastAsia"/>
          <w:lang w:val="en-US" w:eastAsia="zh-CN"/>
        </w:rPr>
        <w:t>3.</w:t>
      </w:r>
      <w:r>
        <w:rPr>
          <w:rFonts w:hint="eastAsia"/>
        </w:rPr>
        <w:t>投标保证金金额</w:t>
      </w:r>
      <w:r>
        <w:rPr>
          <w:rFonts w:hint="eastAsia"/>
          <w:highlight w:val="none"/>
          <w:lang w:eastAsia="zh-CN"/>
        </w:rPr>
        <w:t>：壹万伍仟</w:t>
      </w:r>
      <w:r>
        <w:rPr>
          <w:rFonts w:hint="eastAsia"/>
          <w:highlight w:val="none"/>
        </w:rPr>
        <w:t>元整（</w:t>
      </w:r>
      <w:r>
        <w:rPr>
          <w:rFonts w:hint="eastAsia"/>
          <w:highlight w:val="none"/>
          <w:lang w:val="en-US" w:eastAsia="zh-CN"/>
        </w:rPr>
        <w:t>15</w:t>
      </w:r>
      <w:r>
        <w:rPr>
          <w:rFonts w:hint="eastAsia"/>
          <w:highlight w:val="none"/>
        </w:rPr>
        <w:t>000.00元）</w:t>
      </w:r>
    </w:p>
    <w:p>
      <w:pPr>
        <w:pStyle w:val="2"/>
        <w:spacing w:before="101" w:line="362" w:lineRule="auto"/>
        <w:ind w:right="254" w:firstLine="480" w:firstLineChars="200"/>
        <w:rPr>
          <w:rFonts w:hint="eastAsia"/>
          <w:lang w:val="en-US" w:eastAsia="zh-CN"/>
        </w:rPr>
      </w:pPr>
      <w:r>
        <w:rPr>
          <w:rFonts w:hint="eastAsia"/>
          <w:lang w:val="en-US" w:eastAsia="zh-CN"/>
        </w:rPr>
        <w:t>4.投标保证金账户（以下账户任选其一缴纳保证金即可）：</w:t>
      </w:r>
    </w:p>
    <w:p>
      <w:pPr>
        <w:pStyle w:val="2"/>
        <w:spacing w:before="101" w:line="362" w:lineRule="auto"/>
        <w:ind w:right="254" w:firstLine="480" w:firstLineChars="200"/>
        <w:rPr>
          <w:rFonts w:hint="eastAsia"/>
          <w:highlight w:val="none"/>
        </w:rPr>
      </w:pPr>
      <w:r>
        <w:rPr>
          <w:rFonts w:hint="eastAsia"/>
          <w:lang w:eastAsia="zh-CN"/>
        </w:rPr>
        <w:t>（</w:t>
      </w:r>
      <w:r>
        <w:rPr>
          <w:rFonts w:hint="eastAsia"/>
          <w:lang w:val="en-US" w:eastAsia="zh-CN"/>
        </w:rPr>
        <w:t>1</w:t>
      </w:r>
      <w:r>
        <w:rPr>
          <w:rFonts w:hint="eastAsia"/>
          <w:lang w:eastAsia="zh-CN"/>
        </w:rPr>
        <w:t>）</w:t>
      </w:r>
      <w:r>
        <w:rPr>
          <w:rFonts w:hint="eastAsia"/>
          <w:highlight w:val="none"/>
        </w:rPr>
        <w:t>账户名称：通辽市公共资源交易中心</w:t>
      </w:r>
    </w:p>
    <w:p>
      <w:pPr>
        <w:pStyle w:val="2"/>
        <w:spacing w:before="101" w:line="362" w:lineRule="auto"/>
        <w:ind w:left="252" w:right="254" w:firstLine="480"/>
        <w:rPr>
          <w:rFonts w:hint="eastAsia"/>
          <w:highlight w:val="none"/>
        </w:rPr>
      </w:pPr>
      <w:r>
        <w:rPr>
          <w:rFonts w:hint="eastAsia"/>
          <w:highlight w:val="none"/>
        </w:rPr>
        <w:t>开 户 行：中国建设银行股份有限公司通辽分行营业室</w:t>
      </w:r>
    </w:p>
    <w:p>
      <w:pPr>
        <w:pStyle w:val="2"/>
        <w:spacing w:before="101" w:line="362" w:lineRule="auto"/>
        <w:ind w:right="254" w:firstLine="720" w:firstLineChars="300"/>
        <w:rPr>
          <w:rFonts w:hint="eastAsia" w:eastAsia="宋体"/>
          <w:lang w:eastAsia="zh-CN"/>
        </w:rPr>
      </w:pPr>
      <w:r>
        <w:rPr>
          <w:rFonts w:hint="eastAsia"/>
          <w:highlight w:val="none"/>
        </w:rPr>
        <w:t>账   号：</w:t>
      </w:r>
      <w:r>
        <w:rPr>
          <w:rFonts w:hint="eastAsia"/>
          <w:highlight w:val="none"/>
          <w:lang w:eastAsia="zh-CN"/>
        </w:rPr>
        <w:t>150501636655000008320647</w:t>
      </w:r>
    </w:p>
    <w:p>
      <w:pPr>
        <w:pStyle w:val="2"/>
        <w:spacing w:before="101" w:line="362" w:lineRule="auto"/>
        <w:ind w:right="254" w:firstLine="480" w:firstLineChars="200"/>
        <w:rPr>
          <w:rFonts w:hint="eastAsia"/>
        </w:rPr>
      </w:pP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rPr>
        <w:t>账户名称：通辽市公共资源交易中心</w:t>
      </w:r>
    </w:p>
    <w:p>
      <w:pPr>
        <w:pStyle w:val="2"/>
        <w:spacing w:before="101" w:line="362" w:lineRule="auto"/>
        <w:ind w:left="252" w:right="254" w:firstLine="480"/>
        <w:rPr>
          <w:rFonts w:hint="eastAsia"/>
        </w:rPr>
      </w:pPr>
      <w:r>
        <w:rPr>
          <w:rFonts w:hint="eastAsia"/>
        </w:rPr>
        <w:t>开 户 行：中国银行通辽分行胜利路支行</w:t>
      </w:r>
    </w:p>
    <w:p>
      <w:pPr>
        <w:pStyle w:val="2"/>
        <w:spacing w:before="101" w:line="362" w:lineRule="auto"/>
        <w:ind w:left="252" w:right="254" w:firstLine="480"/>
        <w:rPr>
          <w:rFonts w:hint="eastAsia"/>
          <w:highlight w:val="none"/>
          <w:lang w:val="en-US" w:eastAsia="zh-CN"/>
        </w:rPr>
      </w:pPr>
      <w:r>
        <w:rPr>
          <w:rFonts w:hint="eastAsia"/>
          <w:highlight w:val="none"/>
        </w:rPr>
        <w:t>账   号：150864019520</w:t>
      </w:r>
    </w:p>
    <w:p>
      <w:pPr>
        <w:pStyle w:val="2"/>
        <w:spacing w:before="101" w:line="362" w:lineRule="auto"/>
        <w:ind w:right="254" w:firstLine="480" w:firstLineChars="200"/>
        <w:rPr>
          <w:rFonts w:hint="eastAsia"/>
          <w:highlight w:val="none"/>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eastAsia"/>
          <w:highlight w:val="none"/>
        </w:rPr>
        <w:t>账户名称：通辽市政务服务中心</w:t>
      </w:r>
    </w:p>
    <w:p>
      <w:pPr>
        <w:pStyle w:val="2"/>
        <w:spacing w:before="101" w:line="362" w:lineRule="auto"/>
        <w:ind w:left="252" w:right="254" w:firstLine="480"/>
        <w:rPr>
          <w:rFonts w:hint="eastAsia"/>
          <w:highlight w:val="none"/>
        </w:rPr>
      </w:pPr>
      <w:r>
        <w:rPr>
          <w:rFonts w:hint="eastAsia"/>
          <w:highlight w:val="none"/>
        </w:rPr>
        <w:t>开 户 行：内蒙古银行股份有限公司通辽胜利路支行</w:t>
      </w:r>
    </w:p>
    <w:p>
      <w:pPr>
        <w:pStyle w:val="2"/>
        <w:spacing w:before="101" w:line="362" w:lineRule="auto"/>
        <w:ind w:right="254" w:firstLine="720" w:firstLineChars="300"/>
        <w:rPr>
          <w:rFonts w:hint="eastAsia"/>
          <w:highlight w:val="none"/>
        </w:rPr>
      </w:pPr>
      <w:r>
        <w:rPr>
          <w:rFonts w:hint="eastAsia"/>
          <w:highlight w:val="none"/>
        </w:rPr>
        <w:t>账  号：86103410000000000091181</w:t>
      </w:r>
    </w:p>
    <w:p>
      <w:pPr>
        <w:pStyle w:val="2"/>
        <w:spacing w:before="101" w:line="362" w:lineRule="auto"/>
        <w:ind w:right="254"/>
        <w:rPr>
          <w:rFonts w:hint="eastAsia"/>
          <w:b/>
          <w:bCs/>
          <w:highlight w:val="none"/>
        </w:rPr>
      </w:pPr>
      <w:r>
        <w:rPr>
          <w:rFonts w:hint="eastAsia"/>
          <w:b/>
          <w:bCs/>
          <w:highlight w:val="none"/>
        </w:rPr>
        <w:t>五、竞争性磋商文件售价</w:t>
      </w:r>
    </w:p>
    <w:p>
      <w:pPr>
        <w:pStyle w:val="2"/>
        <w:spacing w:before="101" w:line="362" w:lineRule="auto"/>
        <w:ind w:right="254" w:firstLine="480" w:firstLineChars="200"/>
        <w:rPr>
          <w:rFonts w:hint="eastAsia"/>
        </w:rPr>
      </w:pPr>
      <w:r>
        <w:rPr>
          <w:rFonts w:hint="eastAsia"/>
        </w:rPr>
        <w:t>本次</w:t>
      </w:r>
      <w:r>
        <w:rPr>
          <w:rFonts w:hint="eastAsia"/>
          <w:lang w:eastAsia="zh-CN"/>
        </w:rPr>
        <w:t>竞争性磋商</w:t>
      </w:r>
      <w:r>
        <w:rPr>
          <w:rFonts w:hint="eastAsia"/>
        </w:rPr>
        <w:t>文件售价为0元人民币。</w:t>
      </w:r>
    </w:p>
    <w:p>
      <w:pPr>
        <w:pStyle w:val="2"/>
        <w:spacing w:before="101" w:line="362" w:lineRule="auto"/>
        <w:ind w:right="254"/>
        <w:rPr>
          <w:rFonts w:hint="eastAsia"/>
          <w:b/>
          <w:bCs/>
        </w:rPr>
      </w:pPr>
      <w:r>
        <w:rPr>
          <w:rFonts w:hint="eastAsia"/>
          <w:b/>
          <w:bCs/>
        </w:rPr>
        <w:t>六、递交投标（响应）文件截止时间、开标时间及地点</w:t>
      </w:r>
    </w:p>
    <w:p>
      <w:pPr>
        <w:pStyle w:val="2"/>
        <w:spacing w:before="101" w:line="362" w:lineRule="auto"/>
        <w:ind w:right="254" w:firstLine="480" w:firstLineChars="200"/>
        <w:rPr>
          <w:rFonts w:hint="eastAsia"/>
          <w:color w:val="auto"/>
          <w:highlight w:val="none"/>
        </w:rPr>
      </w:pPr>
      <w:r>
        <w:rPr>
          <w:rFonts w:hint="eastAsia"/>
          <w:lang w:val="en-US" w:eastAsia="zh-CN"/>
        </w:rPr>
        <w:t>1.</w:t>
      </w:r>
      <w:r>
        <w:rPr>
          <w:rFonts w:hint="eastAsia"/>
        </w:rPr>
        <w:t>递交投标（响应）文件截止</w:t>
      </w:r>
      <w:r>
        <w:rPr>
          <w:rFonts w:hint="eastAsia"/>
          <w:highlight w:val="none"/>
        </w:rPr>
        <w:t>时间：</w:t>
      </w:r>
      <w:r>
        <w:rPr>
          <w:rFonts w:hint="eastAsia"/>
          <w:color w:val="auto"/>
          <w:sz w:val="24"/>
          <w:highlight w:val="none"/>
          <w:lang w:val="en-US" w:eastAsia="zh-CN"/>
        </w:rPr>
        <w:t>2020</w:t>
      </w:r>
      <w:r>
        <w:rPr>
          <w:color w:val="auto"/>
          <w:sz w:val="24"/>
          <w:highlight w:val="none"/>
        </w:rPr>
        <w:t>年</w:t>
      </w:r>
      <w:r>
        <w:rPr>
          <w:rFonts w:hint="eastAsia"/>
          <w:color w:val="auto"/>
          <w:sz w:val="24"/>
          <w:highlight w:val="none"/>
          <w:lang w:val="en-US" w:eastAsia="zh-CN"/>
        </w:rPr>
        <w:t>09</w:t>
      </w:r>
      <w:r>
        <w:rPr>
          <w:color w:val="auto"/>
          <w:sz w:val="24"/>
          <w:highlight w:val="none"/>
        </w:rPr>
        <w:t>月</w:t>
      </w:r>
      <w:r>
        <w:rPr>
          <w:rFonts w:hint="eastAsia"/>
          <w:color w:val="auto"/>
          <w:sz w:val="24"/>
          <w:highlight w:val="none"/>
          <w:lang w:val="en-US" w:eastAsia="zh-CN"/>
        </w:rPr>
        <w:t>28</w:t>
      </w:r>
      <w:r>
        <w:rPr>
          <w:color w:val="auto"/>
          <w:sz w:val="24"/>
          <w:highlight w:val="none"/>
        </w:rPr>
        <w:t>日</w:t>
      </w:r>
      <w:r>
        <w:rPr>
          <w:rFonts w:hint="eastAsia"/>
          <w:color w:val="auto"/>
          <w:sz w:val="24"/>
          <w:highlight w:val="none"/>
          <w:lang w:eastAsia="zh-CN"/>
        </w:rPr>
        <w:t>下午</w:t>
      </w:r>
      <w:r>
        <w:rPr>
          <w:rFonts w:hint="eastAsia"/>
          <w:color w:val="auto"/>
          <w:sz w:val="24"/>
          <w:highlight w:val="none"/>
          <w:lang w:val="en-US" w:eastAsia="zh-CN"/>
        </w:rPr>
        <w:t>03</w:t>
      </w:r>
      <w:r>
        <w:rPr>
          <w:color w:val="auto"/>
          <w:spacing w:val="-57"/>
          <w:sz w:val="24"/>
          <w:highlight w:val="none"/>
        </w:rPr>
        <w:t xml:space="preserve"> </w:t>
      </w:r>
      <w:r>
        <w:rPr>
          <w:color w:val="auto"/>
          <w:sz w:val="24"/>
          <w:highlight w:val="none"/>
        </w:rPr>
        <w:t>时</w:t>
      </w:r>
      <w:r>
        <w:rPr>
          <w:rFonts w:hint="eastAsia"/>
          <w:color w:val="auto"/>
          <w:spacing w:val="-56"/>
          <w:sz w:val="24"/>
          <w:highlight w:val="none"/>
          <w:lang w:val="en-US" w:eastAsia="zh-CN"/>
        </w:rPr>
        <w:t>0 0</w:t>
      </w:r>
      <w:r>
        <w:rPr>
          <w:color w:val="auto"/>
          <w:spacing w:val="-57"/>
          <w:sz w:val="24"/>
          <w:highlight w:val="none"/>
        </w:rPr>
        <w:t xml:space="preserve"> </w:t>
      </w:r>
      <w:r>
        <w:rPr>
          <w:color w:val="auto"/>
          <w:sz w:val="24"/>
          <w:highlight w:val="none"/>
        </w:rPr>
        <w:t>分</w:t>
      </w:r>
    </w:p>
    <w:p>
      <w:pPr>
        <w:pStyle w:val="2"/>
        <w:spacing w:before="101" w:line="362" w:lineRule="auto"/>
        <w:ind w:right="254" w:firstLine="480" w:firstLineChars="200"/>
        <w:rPr>
          <w:rFonts w:hint="eastAsia"/>
          <w:color w:val="auto"/>
          <w:highlight w:val="none"/>
        </w:rPr>
      </w:pPr>
      <w:r>
        <w:rPr>
          <w:rFonts w:hint="eastAsia"/>
          <w:color w:val="auto"/>
          <w:highlight w:val="none"/>
          <w:lang w:val="en-US" w:eastAsia="zh-CN"/>
        </w:rPr>
        <w:t>2.</w:t>
      </w:r>
      <w:r>
        <w:rPr>
          <w:rFonts w:hint="eastAsia"/>
          <w:color w:val="auto"/>
          <w:highlight w:val="none"/>
        </w:rPr>
        <w:t xml:space="preserve">投标地点：通辽市公共资源交易中心三楼开标厅  </w:t>
      </w:r>
    </w:p>
    <w:p>
      <w:pPr>
        <w:pStyle w:val="2"/>
        <w:spacing w:before="101" w:line="362" w:lineRule="auto"/>
        <w:ind w:right="254" w:firstLine="480" w:firstLineChars="200"/>
        <w:rPr>
          <w:rFonts w:hint="eastAsia"/>
          <w:color w:val="auto"/>
          <w:highlight w:val="none"/>
        </w:rPr>
      </w:pPr>
      <w:r>
        <w:rPr>
          <w:rFonts w:hint="eastAsia"/>
          <w:color w:val="auto"/>
          <w:highlight w:val="none"/>
          <w:lang w:val="en-US" w:eastAsia="zh-CN"/>
        </w:rPr>
        <w:t>3.</w:t>
      </w:r>
      <w:r>
        <w:rPr>
          <w:rFonts w:hint="eastAsia"/>
          <w:color w:val="auto"/>
          <w:highlight w:val="none"/>
        </w:rPr>
        <w:t>开标时间：</w:t>
      </w:r>
      <w:r>
        <w:rPr>
          <w:rFonts w:hint="eastAsia"/>
          <w:color w:val="auto"/>
          <w:sz w:val="24"/>
          <w:highlight w:val="none"/>
          <w:lang w:val="en-US" w:eastAsia="zh-CN"/>
        </w:rPr>
        <w:t>2020年09月28日下午03 时00分</w:t>
      </w:r>
    </w:p>
    <w:p>
      <w:pPr>
        <w:pStyle w:val="2"/>
        <w:spacing w:before="101" w:line="362" w:lineRule="auto"/>
        <w:ind w:right="254" w:firstLine="480" w:firstLineChars="200"/>
        <w:rPr>
          <w:rFonts w:hint="eastAsia"/>
        </w:rPr>
      </w:pPr>
      <w:r>
        <w:rPr>
          <w:rFonts w:hint="eastAsia"/>
          <w:lang w:val="en-US" w:eastAsia="zh-CN"/>
        </w:rPr>
        <w:t>4.</w:t>
      </w:r>
      <w:r>
        <w:rPr>
          <w:rFonts w:hint="eastAsia"/>
        </w:rPr>
        <w:t>开标地点：通辽市公共资源交易中心三楼开标厅</w:t>
      </w:r>
    </w:p>
    <w:p>
      <w:pPr>
        <w:pStyle w:val="2"/>
        <w:spacing w:before="101" w:line="362" w:lineRule="auto"/>
        <w:ind w:right="254"/>
        <w:rPr>
          <w:rFonts w:hint="eastAsia"/>
          <w:b/>
          <w:bCs/>
        </w:rPr>
      </w:pPr>
      <w:r>
        <w:rPr>
          <w:rFonts w:hint="eastAsia"/>
          <w:b/>
          <w:bCs/>
        </w:rPr>
        <w:t>七、联系方式</w:t>
      </w:r>
    </w:p>
    <w:p>
      <w:pPr>
        <w:spacing w:line="360" w:lineRule="auto"/>
        <w:ind w:firstLine="480" w:firstLineChars="200"/>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采购代理机构：</w:t>
      </w:r>
      <w:r>
        <w:rPr>
          <w:rFonts w:hint="eastAsia" w:cs="宋体"/>
          <w:b w:val="0"/>
          <w:bCs w:val="0"/>
          <w:sz w:val="24"/>
          <w:szCs w:val="24"/>
          <w:shd w:val="clear" w:color="auto" w:fill="FFFFFF"/>
          <w:lang w:eastAsia="zh-CN"/>
        </w:rPr>
        <w:t>山东龙信达咨询监理有限公司</w:t>
      </w:r>
    </w:p>
    <w:p>
      <w:pPr>
        <w:spacing w:line="360" w:lineRule="auto"/>
        <w:ind w:firstLine="480" w:firstLineChars="200"/>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地址：</w:t>
      </w:r>
      <w:r>
        <w:rPr>
          <w:rFonts w:hint="eastAsia" w:cs="宋体"/>
          <w:sz w:val="24"/>
          <w:szCs w:val="24"/>
          <w:lang w:eastAsia="zh-CN"/>
        </w:rPr>
        <w:t>通辽市新城区</w:t>
      </w:r>
    </w:p>
    <w:p>
      <w:pPr>
        <w:spacing w:line="360" w:lineRule="auto"/>
        <w:ind w:firstLine="480" w:firstLineChars="200"/>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邮政编码：</w:t>
      </w:r>
      <w:r>
        <w:rPr>
          <w:rFonts w:hint="eastAsia" w:cs="宋体"/>
          <w:sz w:val="24"/>
          <w:szCs w:val="24"/>
          <w:lang w:val="en-US" w:eastAsia="zh-CN"/>
        </w:rPr>
        <w:t>028000</w:t>
      </w:r>
    </w:p>
    <w:p>
      <w:pPr>
        <w:spacing w:line="360" w:lineRule="auto"/>
        <w:ind w:firstLine="480" w:firstLineChars="200"/>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联系人：</w:t>
      </w:r>
      <w:r>
        <w:rPr>
          <w:rFonts w:hint="eastAsia" w:cs="宋体"/>
          <w:sz w:val="24"/>
          <w:szCs w:val="24"/>
          <w:lang w:eastAsia="zh-CN"/>
        </w:rPr>
        <w:t>李女士</w:t>
      </w:r>
    </w:p>
    <w:p>
      <w:pPr>
        <w:spacing w:line="360" w:lineRule="auto"/>
        <w:ind w:firstLine="480" w:firstLineChars="200"/>
        <w:rPr>
          <w:rFonts w:hint="default" w:ascii="宋体" w:hAnsi="宋体" w:eastAsia="宋体" w:cs="宋体"/>
          <w:b w:val="0"/>
          <w:bCs w:val="0"/>
          <w:sz w:val="24"/>
          <w:szCs w:val="24"/>
          <w:shd w:val="clear" w:color="auto" w:fill="FFFFFF"/>
          <w:lang w:val="en-US" w:eastAsia="zh-CN"/>
        </w:rPr>
      </w:pPr>
      <w:r>
        <w:rPr>
          <w:rFonts w:hint="eastAsia" w:ascii="宋体" w:hAnsi="宋体" w:eastAsia="宋体" w:cs="宋体"/>
          <w:b w:val="0"/>
          <w:bCs w:val="0"/>
          <w:sz w:val="24"/>
          <w:szCs w:val="24"/>
          <w:shd w:val="clear" w:color="auto" w:fill="FFFFFF"/>
        </w:rPr>
        <w:t>联系电话：</w:t>
      </w:r>
      <w:r>
        <w:rPr>
          <w:rFonts w:hint="eastAsia" w:cs="宋体"/>
          <w:b w:val="0"/>
          <w:bCs w:val="0"/>
          <w:sz w:val="24"/>
          <w:szCs w:val="24"/>
          <w:shd w:val="clear" w:color="auto" w:fill="FFFFFF"/>
          <w:lang w:val="en-US" w:eastAsia="zh-CN"/>
        </w:rPr>
        <w:t>0475-8825999</w:t>
      </w:r>
    </w:p>
    <w:p>
      <w:pPr>
        <w:spacing w:line="360" w:lineRule="auto"/>
        <w:ind w:firstLine="480" w:firstLineChars="200"/>
        <w:rPr>
          <w:rFonts w:hint="eastAsia" w:ascii="宋体" w:hAnsi="宋体" w:eastAsia="宋体" w:cs="宋体"/>
          <w:b w:val="0"/>
          <w:bCs w:val="0"/>
          <w:sz w:val="24"/>
          <w:szCs w:val="24"/>
          <w:shd w:val="clear" w:color="auto" w:fill="FFFFFF"/>
          <w:lang w:eastAsia="zh-CN"/>
        </w:rPr>
      </w:pPr>
      <w:r>
        <w:rPr>
          <w:rFonts w:hint="eastAsia" w:ascii="宋体" w:hAnsi="宋体" w:eastAsia="宋体" w:cs="宋体"/>
          <w:b w:val="0"/>
          <w:bCs w:val="0"/>
          <w:sz w:val="24"/>
          <w:szCs w:val="24"/>
          <w:shd w:val="clear" w:color="auto" w:fill="FFFFFF"/>
        </w:rPr>
        <w:t>采购单位：</w:t>
      </w:r>
      <w:r>
        <w:rPr>
          <w:rFonts w:hint="eastAsia" w:cs="宋体"/>
          <w:b w:val="0"/>
          <w:bCs w:val="0"/>
          <w:sz w:val="24"/>
          <w:szCs w:val="24"/>
          <w:lang w:eastAsia="zh-CN"/>
        </w:rPr>
        <w:t>通辽市扶贫开发办公室</w:t>
      </w:r>
    </w:p>
    <w:p>
      <w:pPr>
        <w:spacing w:line="360" w:lineRule="auto"/>
        <w:ind w:firstLine="480" w:firstLineChars="200"/>
        <w:rPr>
          <w:rFonts w:hint="default" w:ascii="宋体" w:hAnsi="宋体" w:eastAsia="宋体" w:cs="宋体"/>
          <w:b w:val="0"/>
          <w:bCs w:val="0"/>
          <w:sz w:val="24"/>
          <w:szCs w:val="24"/>
          <w:shd w:val="clear" w:color="auto" w:fill="FFFFFF"/>
          <w:lang w:val="en-US" w:eastAsia="zh-CN"/>
        </w:rPr>
      </w:pPr>
      <w:r>
        <w:rPr>
          <w:rFonts w:hint="eastAsia" w:ascii="宋体" w:hAnsi="宋体" w:eastAsia="宋体" w:cs="宋体"/>
          <w:b w:val="0"/>
          <w:bCs w:val="0"/>
          <w:sz w:val="24"/>
          <w:szCs w:val="24"/>
          <w:shd w:val="clear" w:color="auto" w:fill="FFFFFF"/>
        </w:rPr>
        <w:t>地址：</w:t>
      </w:r>
      <w:r>
        <w:rPr>
          <w:rFonts w:hint="eastAsia" w:cs="宋体"/>
          <w:b w:val="0"/>
          <w:bCs w:val="0"/>
          <w:sz w:val="24"/>
          <w:szCs w:val="24"/>
          <w:shd w:val="clear" w:color="auto" w:fill="FFFFFF"/>
          <w:lang w:eastAsia="zh-CN"/>
        </w:rPr>
        <w:t>通辽市科尔沁区</w:t>
      </w:r>
    </w:p>
    <w:p>
      <w:pPr>
        <w:spacing w:line="360" w:lineRule="auto"/>
        <w:ind w:firstLine="480" w:firstLineChars="200"/>
        <w:rPr>
          <w:rFonts w:hint="eastAsia" w:ascii="宋体" w:hAnsi="宋体" w:eastAsia="宋体" w:cs="宋体"/>
          <w:b w:val="0"/>
          <w:bCs w:val="0"/>
          <w:sz w:val="24"/>
          <w:szCs w:val="24"/>
          <w:highlight w:val="none"/>
          <w:shd w:val="clear" w:color="auto" w:fill="FFFFFF"/>
        </w:rPr>
      </w:pPr>
      <w:r>
        <w:rPr>
          <w:rFonts w:hint="eastAsia" w:ascii="宋体" w:hAnsi="宋体" w:eastAsia="宋体" w:cs="宋体"/>
          <w:b w:val="0"/>
          <w:bCs w:val="0"/>
          <w:sz w:val="24"/>
          <w:szCs w:val="24"/>
          <w:highlight w:val="none"/>
          <w:shd w:val="clear" w:color="auto" w:fill="FFFFFF"/>
        </w:rPr>
        <w:t xml:space="preserve">邮政编码：028000 </w:t>
      </w:r>
    </w:p>
    <w:p>
      <w:pPr>
        <w:spacing w:line="360" w:lineRule="auto"/>
        <w:ind w:firstLine="480" w:firstLineChars="200"/>
        <w:rPr>
          <w:rFonts w:hint="eastAsia" w:ascii="宋体" w:hAnsi="宋体" w:eastAsia="宋体" w:cs="宋体"/>
          <w:b w:val="0"/>
          <w:bCs w:val="0"/>
          <w:sz w:val="24"/>
          <w:szCs w:val="24"/>
          <w:highlight w:val="none"/>
          <w:shd w:val="clear" w:color="auto" w:fill="FFFFFF"/>
          <w:lang w:eastAsia="zh-CN"/>
        </w:rPr>
      </w:pPr>
      <w:r>
        <w:rPr>
          <w:rFonts w:hint="eastAsia" w:ascii="宋体" w:hAnsi="宋体" w:eastAsia="宋体" w:cs="宋体"/>
          <w:b w:val="0"/>
          <w:bCs w:val="0"/>
          <w:sz w:val="24"/>
          <w:szCs w:val="24"/>
          <w:highlight w:val="none"/>
          <w:shd w:val="clear" w:color="auto" w:fill="FFFFFF"/>
        </w:rPr>
        <w:t>联系人：</w:t>
      </w:r>
      <w:r>
        <w:rPr>
          <w:rFonts w:hint="eastAsia" w:ascii="宋体" w:hAnsi="宋体" w:eastAsia="宋体" w:cs="宋体"/>
          <w:b w:val="0"/>
          <w:bCs w:val="0"/>
          <w:sz w:val="24"/>
          <w:szCs w:val="24"/>
          <w:highlight w:val="none"/>
          <w:shd w:val="clear" w:color="auto" w:fill="FFFFFF"/>
          <w:lang w:val="en-US" w:eastAsia="zh-CN"/>
        </w:rPr>
        <w:t>希仁其木格</w:t>
      </w:r>
    </w:p>
    <w:p>
      <w:pPr>
        <w:spacing w:line="360" w:lineRule="auto"/>
        <w:ind w:firstLine="480" w:firstLineChars="200"/>
        <w:rPr>
          <w:rFonts w:hint="default" w:ascii="宋体" w:hAnsi="宋体" w:eastAsia="宋体" w:cs="宋体"/>
          <w:b w:val="0"/>
          <w:bCs w:val="0"/>
          <w:sz w:val="24"/>
          <w:szCs w:val="24"/>
          <w:highlight w:val="none"/>
          <w:shd w:val="clear" w:color="auto" w:fill="FFFFFF"/>
          <w:lang w:val="en-US" w:eastAsia="zh-CN"/>
        </w:rPr>
      </w:pPr>
      <w:r>
        <w:rPr>
          <w:rFonts w:hint="eastAsia" w:ascii="宋体" w:hAnsi="宋体" w:eastAsia="宋体" w:cs="宋体"/>
          <w:b w:val="0"/>
          <w:bCs w:val="0"/>
          <w:sz w:val="24"/>
          <w:szCs w:val="24"/>
          <w:highlight w:val="none"/>
          <w:shd w:val="clear" w:color="auto" w:fill="FFFFFF"/>
        </w:rPr>
        <w:t>联系电话：</w:t>
      </w:r>
      <w:r>
        <w:rPr>
          <w:rFonts w:hint="eastAsia" w:cs="宋体"/>
          <w:b w:val="0"/>
          <w:bCs w:val="0"/>
          <w:sz w:val="24"/>
          <w:szCs w:val="24"/>
          <w:highlight w:val="none"/>
          <w:shd w:val="clear" w:color="auto" w:fill="FFFFFF"/>
          <w:lang w:val="en-US" w:eastAsia="zh-CN"/>
        </w:rPr>
        <w:t>0475-8836292</w:t>
      </w:r>
    </w:p>
    <w:p>
      <w:pPr>
        <w:tabs>
          <w:tab w:val="left" w:pos="1287"/>
        </w:tabs>
        <w:outlineLvl w:val="9"/>
      </w:pPr>
    </w:p>
    <w:p>
      <w:pPr>
        <w:tabs>
          <w:tab w:val="left" w:pos="1287"/>
        </w:tabs>
        <w:outlineLvl w:val="9"/>
      </w:pPr>
    </w:p>
    <w:p>
      <w:bookmarkStart w:id="17" w:name="_GoBack"/>
      <w:bookmarkEnd w:id="1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632BFE"/>
    <w:rsid w:val="22632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4"/>
      <w:szCs w:val="24"/>
      <w:lang w:val="zh-CN" w:eastAsia="zh-CN" w:bidi="zh-CN"/>
    </w:rPr>
  </w:style>
  <w:style w:type="paragraph" w:styleId="3">
    <w:name w:val="Normal (Web)"/>
    <w:basedOn w:val="1"/>
    <w:qFormat/>
    <w:uiPriority w:val="0"/>
    <w:rPr>
      <w:sz w:val="24"/>
    </w:rPr>
  </w:style>
  <w:style w:type="paragraph" w:styleId="4">
    <w:name w:val="Body Text First Indent"/>
    <w:basedOn w:val="2"/>
    <w:qFormat/>
    <w:uiPriority w:val="0"/>
    <w:pPr>
      <w:ind w:firstLine="420" w:firstLineChars="100"/>
    </w:pPr>
  </w:style>
  <w:style w:type="paragraph" w:customStyle="1" w:styleId="7">
    <w:name w:val="List Paragraph"/>
    <w:basedOn w:val="1"/>
    <w:qFormat/>
    <w:uiPriority w:val="1"/>
    <w:pPr>
      <w:spacing w:before="158"/>
      <w:ind w:left="252" w:firstLine="480"/>
    </w:pPr>
    <w:rPr>
      <w:rFonts w:ascii="宋体" w:hAnsi="宋体" w:eastAsia="宋体" w:cs="宋体"/>
      <w:lang w:val="zh-CN" w:eastAsia="zh-CN" w:bidi="zh-CN"/>
    </w:rPr>
  </w:style>
  <w:style w:type="paragraph" w:customStyle="1" w:styleId="8">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2020-09-16T07:57:00Z</dcterms:created>
  <dc:creator>吃瓜群众</dc:creator>
  <cp:lastModifiedBy>吃瓜群众</cp:lastModifiedBy>
  <dcterms:modified xsi:type="dcterms:W3CDTF">2020-09-16T07:58:17Z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